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default" w:ascii="方正小标宋简体" w:eastAsia="方正小标宋简体" w:hAnsiTheme="majorEastAsia" w:cstheme="majorEastAsia"/>
          <w:color w:val="333333"/>
          <w:sz w:val="44"/>
          <w:szCs w:val="44"/>
          <w:shd w:val="clear" w:color="auto" w:fill="FFFFFF"/>
          <w:lang w:val="en-US" w:eastAsia="zh-CN"/>
        </w:rPr>
      </w:pPr>
      <w:r>
        <w:rPr>
          <w:rFonts w:hint="eastAsia" w:ascii="方正小标宋简体" w:eastAsia="方正小标宋简体" w:hAnsiTheme="majorEastAsia" w:cstheme="majorEastAsia"/>
          <w:bCs/>
          <w:kern w:val="0"/>
          <w:sz w:val="44"/>
          <w:szCs w:val="44"/>
          <w:shd w:val="clear" w:color="auto" w:fill="FFFFFF"/>
          <w:lang w:val="en-US" w:eastAsia="zh-CN"/>
        </w:rPr>
        <w:t>监督检查处理结果公告</w:t>
      </w:r>
    </w:p>
    <w:p>
      <w:pPr>
        <w:widowControl/>
        <w:shd w:val="clear" w:color="auto" w:fill="FFFFFF"/>
        <w:spacing w:line="560" w:lineRule="exact"/>
        <w:ind w:left="840" w:leftChars="400" w:firstLine="1100" w:firstLineChars="250"/>
        <w:rPr>
          <w:rFonts w:ascii="方正小标宋简体" w:eastAsia="方正小标宋简体" w:hAnsiTheme="majorEastAsia" w:cstheme="majorEastAsia"/>
          <w:color w:val="333333"/>
          <w:sz w:val="44"/>
          <w:szCs w:val="44"/>
          <w:shd w:val="clear" w:color="auto" w:fill="FFFFFF"/>
        </w:rPr>
      </w:pPr>
    </w:p>
    <w:p>
      <w:pPr>
        <w:pStyle w:val="2"/>
        <w:widowControl/>
        <w:numPr>
          <w:ilvl w:val="0"/>
          <w:numId w:val="0"/>
        </w:numPr>
        <w:shd w:val="clear" w:color="auto" w:fill="FFFFFF"/>
        <w:spacing w:beforeAutospacing="0" w:afterAutospacing="0" w:line="560" w:lineRule="exact"/>
        <w:jc w:val="both"/>
        <w:rPr>
          <w:rFonts w:hint="default"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一、项目编号</w:t>
      </w:r>
    </w:p>
    <w:p>
      <w:pPr>
        <w:rPr>
          <w:rFonts w:hint="eastAsia" w:ascii="仿宋_GB2312" w:hAnsi="仿宋" w:eastAsia="仿宋_GB2312" w:cs="仿宋"/>
          <w:bCs/>
          <w:color w:val="000000"/>
          <w:kern w:val="2"/>
          <w:sz w:val="32"/>
          <w:szCs w:val="32"/>
          <w:shd w:val="clear" w:color="auto" w:fill="FFFFFF"/>
        </w:rPr>
      </w:pPr>
      <w:r>
        <w:rPr>
          <w:rFonts w:hint="eastAsia" w:ascii="仿宋_GB2312" w:hAnsi="仿宋" w:eastAsia="仿宋_GB2312" w:cs="仿宋"/>
          <w:bCs/>
          <w:color w:val="000000"/>
          <w:kern w:val="2"/>
          <w:sz w:val="32"/>
          <w:szCs w:val="32"/>
          <w:shd w:val="clear" w:color="auto" w:fill="FFFFFF"/>
        </w:rPr>
        <w:t xml:space="preserve"> 建兴安福政采字【2022】1号-1</w:t>
      </w:r>
      <w:r>
        <w:rPr>
          <w:rFonts w:hint="eastAsia" w:ascii="仿宋_GB2312" w:hAnsi="仿宋" w:eastAsia="仿宋_GB2312" w:cs="仿宋"/>
          <w:bCs/>
          <w:color w:val="000000"/>
          <w:kern w:val="2"/>
          <w:sz w:val="32"/>
          <w:szCs w:val="32"/>
          <w:shd w:val="clear" w:color="auto" w:fill="FFFFFF"/>
          <w:lang w:eastAsia="zh-CN"/>
        </w:rPr>
        <w:t>、</w:t>
      </w:r>
      <w:r>
        <w:rPr>
          <w:rFonts w:hint="eastAsia" w:ascii="仿宋_GB2312" w:hAnsi="仿宋" w:eastAsia="仿宋_GB2312" w:cs="仿宋"/>
          <w:bCs/>
          <w:color w:val="000000"/>
          <w:kern w:val="2"/>
          <w:sz w:val="32"/>
          <w:szCs w:val="32"/>
          <w:shd w:val="clear" w:color="auto" w:fill="FFFFFF"/>
        </w:rPr>
        <w:t>建兴安福政采字【2022】3号</w:t>
      </w:r>
    </w:p>
    <w:p>
      <w:pPr>
        <w:pStyle w:val="2"/>
        <w:widowControl/>
        <w:numPr>
          <w:ilvl w:val="0"/>
          <w:numId w:val="0"/>
        </w:numPr>
        <w:shd w:val="clear" w:color="auto" w:fill="FFFFFF"/>
        <w:tabs>
          <w:tab w:val="left" w:pos="583"/>
        </w:tabs>
        <w:spacing w:beforeAutospacing="0" w:afterAutospacing="0" w:line="560" w:lineRule="exact"/>
        <w:jc w:val="both"/>
        <w:rPr>
          <w:rFonts w:hint="default"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二、项目名称</w:t>
      </w:r>
    </w:p>
    <w:p>
      <w:pPr>
        <w:rPr>
          <w:rFonts w:hint="eastAsia" w:ascii="仿宋_GB2312" w:hAnsi="仿宋" w:eastAsia="仿宋_GB2312" w:cs="仿宋"/>
          <w:bCs/>
          <w:color w:val="000000"/>
          <w:kern w:val="2"/>
          <w:sz w:val="32"/>
          <w:szCs w:val="32"/>
          <w:shd w:val="clear" w:color="auto" w:fill="FFFFFF"/>
        </w:rPr>
      </w:pPr>
      <w:r>
        <w:rPr>
          <w:rFonts w:hint="eastAsia" w:ascii="仿宋_GB2312" w:hAnsi="仿宋" w:eastAsia="仿宋_GB2312" w:cs="仿宋"/>
          <w:bCs/>
          <w:color w:val="000000"/>
          <w:kern w:val="2"/>
          <w:sz w:val="32"/>
          <w:szCs w:val="32"/>
          <w:shd w:val="clear" w:color="auto" w:fill="FFFFFF"/>
        </w:rPr>
        <w:t>安福县废弃煤矿矿井地下水环境状况调查评价技术服务采购项目（第二次）</w:t>
      </w:r>
      <w:r>
        <w:rPr>
          <w:rFonts w:hint="eastAsia" w:ascii="仿宋_GB2312" w:hAnsi="仿宋" w:eastAsia="仿宋_GB2312" w:cs="仿宋"/>
          <w:bCs/>
          <w:color w:val="000000"/>
          <w:kern w:val="2"/>
          <w:sz w:val="32"/>
          <w:szCs w:val="32"/>
          <w:shd w:val="clear" w:color="auto" w:fill="FFFFFF"/>
          <w:lang w:eastAsia="zh-CN"/>
        </w:rPr>
        <w:t>、</w:t>
      </w:r>
      <w:r>
        <w:rPr>
          <w:rFonts w:hint="eastAsia" w:ascii="仿宋_GB2312" w:hAnsi="仿宋" w:eastAsia="仿宋_GB2312" w:cs="仿宋"/>
          <w:bCs/>
          <w:color w:val="000000"/>
          <w:kern w:val="2"/>
          <w:sz w:val="32"/>
          <w:szCs w:val="32"/>
          <w:shd w:val="clear" w:color="auto" w:fill="FFFFFF"/>
        </w:rPr>
        <w:t>安福县2022年生态环境监测服务采购项目</w:t>
      </w:r>
    </w:p>
    <w:p>
      <w:pPr>
        <w:pStyle w:val="2"/>
        <w:widowControl/>
        <w:numPr>
          <w:ilvl w:val="0"/>
          <w:numId w:val="0"/>
        </w:numPr>
        <w:shd w:val="clear" w:color="auto" w:fill="FFFFFF"/>
        <w:spacing w:beforeAutospacing="0" w:afterAutospacing="0" w:line="560" w:lineRule="exact"/>
        <w:jc w:val="both"/>
        <w:rPr>
          <w:rFonts w:hint="default"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三、相关当事人</w:t>
      </w:r>
    </w:p>
    <w:p>
      <w:pPr>
        <w:pStyle w:val="2"/>
        <w:widowControl/>
        <w:shd w:val="clear" w:color="auto" w:fill="FFFFFF"/>
        <w:spacing w:beforeAutospacing="0" w:afterAutospacing="0"/>
        <w:jc w:val="both"/>
        <w:rPr>
          <w:rFonts w:ascii="仿宋_GB2312" w:hAnsi="宋体" w:eastAsia="仿宋_GB2312"/>
          <w:color w:val="000000"/>
          <w:sz w:val="32"/>
          <w:szCs w:val="32"/>
        </w:rPr>
      </w:pPr>
      <w:r>
        <w:rPr>
          <w:rFonts w:hint="eastAsia" w:ascii="仿宋_GB2312" w:hAnsi="宋体" w:eastAsia="仿宋_GB2312"/>
          <w:color w:val="000000"/>
          <w:sz w:val="32"/>
          <w:szCs w:val="32"/>
        </w:rPr>
        <w:t>当 事 人: 吉安市安福生态环境局</w:t>
      </w:r>
    </w:p>
    <w:p>
      <w:pPr>
        <w:rPr>
          <w:rFonts w:hint="eastAsia" w:ascii="仿宋_GB2312" w:hAnsi="宋体" w:eastAsia="仿宋_GB2312"/>
          <w:color w:val="000000"/>
          <w:sz w:val="32"/>
          <w:szCs w:val="32"/>
        </w:rPr>
      </w:pPr>
      <w:r>
        <w:rPr>
          <w:rFonts w:hint="eastAsia" w:ascii="仿宋_GB2312" w:hAnsi="宋体" w:eastAsia="仿宋_GB2312"/>
          <w:color w:val="000000"/>
          <w:sz w:val="32"/>
          <w:szCs w:val="32"/>
        </w:rPr>
        <w:t>地址：安福县泸水河大道</w:t>
      </w:r>
    </w:p>
    <w:p>
      <w:pPr>
        <w:pStyle w:val="2"/>
        <w:widowControl/>
        <w:numPr>
          <w:ilvl w:val="0"/>
          <w:numId w:val="0"/>
        </w:numPr>
        <w:shd w:val="clear" w:color="auto" w:fill="FFFFFF"/>
        <w:spacing w:beforeAutospacing="0" w:afterAutospacing="0" w:line="560" w:lineRule="exact"/>
        <w:jc w:val="both"/>
        <w:rPr>
          <w:rFonts w:hint="default"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四、基本情况</w:t>
      </w:r>
    </w:p>
    <w:p>
      <w:pPr>
        <w:pStyle w:val="2"/>
        <w:widowControl/>
        <w:shd w:val="clear" w:color="auto" w:fill="FFFFFF"/>
        <w:spacing w:beforeAutospacing="0" w:afterAutospacing="0"/>
        <w:ind w:firstLine="640" w:firstLineChars="200"/>
        <w:jc w:val="both"/>
        <w:rPr>
          <w:rFonts w:ascii="仿宋_GB2312" w:hAnsi="仿宋" w:eastAsia="仿宋_GB2312" w:cs="仿宋"/>
          <w:bCs/>
          <w:color w:val="000000"/>
          <w:kern w:val="2"/>
          <w:sz w:val="32"/>
          <w:szCs w:val="32"/>
          <w:shd w:val="clear" w:color="auto" w:fill="FFFFFF"/>
        </w:rPr>
      </w:pPr>
      <w:r>
        <w:rPr>
          <w:rFonts w:hint="eastAsia" w:ascii="仿宋_GB2312" w:hAnsi="宋体" w:eastAsia="仿宋_GB2312"/>
          <w:color w:val="000000"/>
          <w:sz w:val="32"/>
          <w:szCs w:val="32"/>
        </w:rPr>
        <w:t>根据《吉安市财政局 吉安市公安局 吉安市市场监督管理局关于开展2023年政府采购领域“四类”违法违规行为专项整治工作的通知》（吉财购〔2023〕34号）</w:t>
      </w:r>
      <w:r>
        <w:rPr>
          <w:rFonts w:hint="eastAsia" w:ascii="仿宋_GB2312" w:hAnsi="楷体_GB2312" w:eastAsia="仿宋_GB2312" w:cs="楷体_GB2312"/>
          <w:sz w:val="32"/>
          <w:szCs w:val="32"/>
        </w:rPr>
        <w:t>文件布署，</w:t>
      </w:r>
      <w:r>
        <w:rPr>
          <w:rFonts w:hint="eastAsia" w:ascii="仿宋_GB2312" w:hAnsi="仿宋" w:eastAsia="仿宋_GB2312" w:cs="仿宋"/>
          <w:bCs/>
          <w:color w:val="000000"/>
          <w:kern w:val="2"/>
          <w:sz w:val="32"/>
          <w:szCs w:val="32"/>
          <w:shd w:val="clear" w:color="auto" w:fill="FFFFFF"/>
        </w:rPr>
        <w:t>检查组对你单位的安福县废弃煤矿矿井地下水环境状况调查评价技术服务采购项目（第二次）（项目编号: 建兴安福政采字【2022】1号-1）、安福县2022年生态环境监测服务采购项目（项目编号: 建兴安福政采字【2022】3号）进行了检查，发现存在以下问题：</w:t>
      </w:r>
    </w:p>
    <w:p>
      <w:pPr>
        <w:ind w:firstLine="640" w:firstLineChars="200"/>
        <w:rPr>
          <w:rFonts w:ascii="仿宋_GB2312" w:hAnsi="仿宋" w:eastAsia="仿宋_GB2312" w:cs="仿宋"/>
          <w:bCs/>
          <w:color w:val="000000"/>
          <w:sz w:val="32"/>
          <w:szCs w:val="32"/>
          <w:shd w:val="clear" w:color="auto" w:fill="FFFFFF"/>
        </w:rPr>
      </w:pPr>
      <w:r>
        <w:rPr>
          <w:rFonts w:hint="eastAsia" w:ascii="仿宋_GB2312" w:hAnsi="仿宋" w:eastAsia="仿宋_GB2312" w:cs="仿宋"/>
          <w:bCs/>
          <w:color w:val="000000"/>
          <w:sz w:val="32"/>
          <w:szCs w:val="32"/>
          <w:shd w:val="clear" w:color="auto" w:fill="FFFFFF"/>
        </w:rPr>
        <w:t>（一）安福县废弃煤矿矿井地下水环境状况调查评价技术服务采购项目（第二次）（项目编号: 建兴安福政采字【2022】1号-1）</w:t>
      </w:r>
    </w:p>
    <w:p>
      <w:pPr>
        <w:ind w:firstLine="640" w:firstLineChars="200"/>
        <w:rPr>
          <w:rFonts w:ascii="仿宋_GB2312" w:hAnsi="仿宋" w:eastAsia="仿宋_GB2312" w:cs="仿宋"/>
          <w:bCs/>
          <w:color w:val="000000"/>
          <w:sz w:val="32"/>
          <w:szCs w:val="32"/>
          <w:shd w:val="clear" w:color="auto" w:fill="FFFFFF"/>
        </w:rPr>
      </w:pPr>
      <w:r>
        <w:rPr>
          <w:rFonts w:hint="eastAsia" w:ascii="仿宋_GB2312" w:hAnsi="仿宋" w:eastAsia="仿宋_GB2312" w:cs="仿宋"/>
          <w:bCs/>
          <w:color w:val="000000"/>
          <w:sz w:val="32"/>
          <w:szCs w:val="32"/>
          <w:shd w:val="clear" w:color="auto" w:fill="FFFFFF"/>
        </w:rPr>
        <w:t>1.技术标评审中“项目区地下水环境现状分析”“技术路线与工作配署”和“保障措施”评分标准未细化量化，违反《政府采购货物和服务招标投标管理办法》第五十五条第三款。</w:t>
      </w:r>
    </w:p>
    <w:p>
      <w:pPr>
        <w:ind w:firstLine="640" w:firstLineChars="200"/>
        <w:rPr>
          <w:rFonts w:ascii="仿宋_GB2312" w:hAnsi="仿宋" w:eastAsia="仿宋_GB2312" w:cs="仿宋"/>
          <w:bCs/>
          <w:color w:val="000000"/>
          <w:sz w:val="32"/>
          <w:szCs w:val="32"/>
          <w:shd w:val="clear" w:color="auto" w:fill="FFFFFF"/>
        </w:rPr>
      </w:pPr>
      <w:r>
        <w:rPr>
          <w:rFonts w:hint="eastAsia" w:ascii="仿宋_GB2312" w:hAnsi="仿宋" w:eastAsia="仿宋_GB2312" w:cs="仿宋"/>
          <w:bCs/>
          <w:color w:val="000000"/>
          <w:sz w:val="32"/>
          <w:szCs w:val="32"/>
          <w:shd w:val="clear" w:color="auto" w:fill="FFFFFF"/>
        </w:rPr>
        <w:t>2.商务标评审中“人员配备情况(20分)”、“类似业绩情况(10分)投标人提供近2021年至今的区域(含矿区、工业园区)地下水环境状况调查项目业绩，每提供一项得1分，最多限10分，”业绩设置过多。存在以其他不合理的条件限制或排斥潜在供应商的问题。违反《中华人民共和国政府采购法》第二十二条。</w:t>
      </w:r>
    </w:p>
    <w:p>
      <w:pPr>
        <w:ind w:firstLine="640" w:firstLineChars="200"/>
        <w:rPr>
          <w:rFonts w:ascii="仿宋_GB2312" w:hAnsi="仿宋" w:eastAsia="仿宋_GB2312" w:cs="仿宋"/>
          <w:bCs/>
          <w:color w:val="000000"/>
          <w:sz w:val="32"/>
          <w:szCs w:val="32"/>
          <w:shd w:val="clear" w:color="auto" w:fill="FFFFFF"/>
        </w:rPr>
      </w:pPr>
      <w:r>
        <w:rPr>
          <w:rFonts w:hint="eastAsia" w:ascii="仿宋_GB2312" w:hAnsi="仿宋" w:eastAsia="仿宋_GB2312" w:cs="仿宋"/>
          <w:bCs/>
          <w:color w:val="000000"/>
          <w:sz w:val="32"/>
          <w:szCs w:val="32"/>
          <w:shd w:val="clear" w:color="auto" w:fill="FFFFFF"/>
        </w:rPr>
        <w:t>3.人员配备情况(20分)“投标文件中评分依据:需提供以上所有人员职称证书扫描件加盖投标人公章及其本人开标截止时间前三个月的社保证明;离休返聘人员提供返聘合同及开标截止时间前六个月的工资发放银行明细记录佐证评议，否则不得分:注:因本项目为不见面开标，中标方需在签订合同时提供以上证件原件供业主审查，否则视为放弃中标权利。”存在对企业成立年限不合理要求直接或变相限制或排斥中小企业的问题。违反《政府采购促进中小企业发展管理办法》相关条例。</w:t>
      </w:r>
    </w:p>
    <w:p>
      <w:pPr>
        <w:ind w:firstLine="640" w:firstLineChars="200"/>
        <w:rPr>
          <w:rFonts w:ascii="仿宋_GB2312" w:hAnsi="仿宋" w:eastAsia="仿宋_GB2312" w:cs="仿宋"/>
          <w:bCs/>
          <w:color w:val="000000"/>
          <w:sz w:val="32"/>
          <w:szCs w:val="32"/>
          <w:shd w:val="clear" w:color="auto" w:fill="FFFFFF"/>
        </w:rPr>
      </w:pPr>
      <w:r>
        <w:rPr>
          <w:rFonts w:hint="eastAsia" w:ascii="仿宋_GB2312" w:hAnsi="仿宋" w:eastAsia="仿宋_GB2312" w:cs="仿宋"/>
          <w:bCs/>
          <w:color w:val="000000"/>
          <w:sz w:val="32"/>
          <w:szCs w:val="32"/>
          <w:shd w:val="clear" w:color="auto" w:fill="FFFFFF"/>
        </w:rPr>
        <w:t>（二）安福县2022年生态环境监测服务采购项目（项目编号: 建兴安福政采字【2022】3号）</w:t>
      </w:r>
    </w:p>
    <w:p>
      <w:pPr>
        <w:ind w:firstLine="640" w:firstLineChars="200"/>
        <w:rPr>
          <w:rFonts w:ascii="仿宋_GB2312" w:hAnsi="仿宋" w:eastAsia="仿宋_GB2312" w:cs="仿宋"/>
          <w:bCs/>
          <w:color w:val="000000"/>
          <w:sz w:val="32"/>
          <w:szCs w:val="32"/>
          <w:shd w:val="clear" w:color="auto" w:fill="FFFFFF"/>
        </w:rPr>
      </w:pPr>
      <w:r>
        <w:rPr>
          <w:rFonts w:hint="eastAsia" w:ascii="仿宋_GB2312" w:hAnsi="仿宋" w:eastAsia="仿宋_GB2312" w:cs="仿宋"/>
          <w:bCs/>
          <w:color w:val="000000"/>
          <w:sz w:val="32"/>
          <w:szCs w:val="32"/>
          <w:shd w:val="clear" w:color="auto" w:fill="FFFFFF"/>
        </w:rPr>
        <w:t>1.评审内容项目实施方案(20 分)中“对每个小项分为优秀和一般两档进行评分”，评分标准未细化量化, 违反《政府采购货物和服务招标投标管理办法》第五十五条。</w:t>
      </w:r>
    </w:p>
    <w:p>
      <w:pPr>
        <w:ind w:firstLine="640" w:firstLineChars="200"/>
        <w:rPr>
          <w:rFonts w:ascii="仿宋_GB2312" w:hAnsi="仿宋" w:eastAsia="仿宋_GB2312" w:cs="仿宋"/>
          <w:bCs/>
          <w:color w:val="333333"/>
          <w:kern w:val="0"/>
          <w:sz w:val="32"/>
          <w:szCs w:val="32"/>
          <w:shd w:val="clear" w:color="auto" w:fill="FFFFFF"/>
        </w:rPr>
      </w:pPr>
      <w:r>
        <w:rPr>
          <w:rFonts w:hint="eastAsia" w:ascii="仿宋_GB2312" w:hAnsi="仿宋" w:eastAsia="仿宋_GB2312" w:cs="仿宋"/>
          <w:bCs/>
          <w:color w:val="000000"/>
          <w:sz w:val="32"/>
          <w:szCs w:val="32"/>
          <w:shd w:val="clear" w:color="auto" w:fill="FFFFFF"/>
        </w:rPr>
        <w:t>2.商务评标审中的“企业荣誉、技术专利、项目团队”变相设置与上述规模条件存在直接关联的第三方信用评价、认证等不合理条件，存在对企业规模的不合理要求直接或变相限制或排斥中小企业的问题。违反《中华人民共和国政府采购法》第二十二条，《中华人民共和国政府采购法实施条</w:t>
      </w:r>
      <w:r>
        <w:rPr>
          <w:rFonts w:hint="eastAsia" w:ascii="仿宋_GB2312" w:hAnsi="仿宋" w:eastAsia="仿宋_GB2312" w:cs="仿宋"/>
          <w:bCs/>
          <w:color w:val="333333"/>
          <w:kern w:val="0"/>
          <w:sz w:val="32"/>
          <w:szCs w:val="32"/>
          <w:shd w:val="clear" w:color="auto" w:fill="FFFFFF"/>
        </w:rPr>
        <w:t>例》第二十条。</w:t>
      </w:r>
    </w:p>
    <w:p>
      <w:pPr>
        <w:rPr>
          <w:rFonts w:hint="eastAsia" w:ascii="仿宋_GB2312" w:hAnsi="仿宋" w:eastAsia="仿宋_GB2312" w:cs="仿宋"/>
          <w:bCs/>
          <w:color w:val="000000"/>
          <w:sz w:val="32"/>
          <w:szCs w:val="32"/>
          <w:shd w:val="clear" w:color="auto" w:fill="FFFFFF"/>
        </w:rPr>
      </w:pPr>
      <w:r>
        <w:rPr>
          <w:rFonts w:hint="eastAsia" w:ascii="仿宋_GB2312" w:hAnsi="仿宋" w:eastAsia="仿宋_GB2312" w:cs="仿宋"/>
          <w:bCs/>
          <w:color w:val="000000"/>
          <w:sz w:val="32"/>
          <w:szCs w:val="32"/>
          <w:shd w:val="clear" w:color="auto" w:fill="FFFFFF"/>
        </w:rPr>
        <w:t>3.商务标评审中“入选2021年度省级中小企业公共服务示范平台示范单位得2分。”未提供或提供无效的不得分。存在以其他不合理的条件限制或排斥潜在供应商的问题。违反《中华人民共和国政府采购法》第二十二条，《中华人民共和国政府采购法实施条例》第二十条。</w:t>
      </w:r>
    </w:p>
    <w:p>
      <w:pPr>
        <w:spacing w:line="560" w:lineRule="exact"/>
        <w:rPr>
          <w:rFonts w:hint="default"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五、处理依据及结果</w:t>
      </w:r>
    </w:p>
    <w:p>
      <w:pPr>
        <w:ind w:firstLine="640" w:firstLineChars="200"/>
        <w:rPr>
          <w:rFonts w:ascii="仿宋_GB2312" w:hAnsi="仿宋" w:eastAsia="仿宋_GB2312" w:cs="仿宋"/>
          <w:bCs/>
          <w:color w:val="000000"/>
          <w:sz w:val="32"/>
          <w:szCs w:val="32"/>
          <w:shd w:val="clear" w:color="auto" w:fill="FFFFFF"/>
        </w:rPr>
      </w:pPr>
      <w:r>
        <w:rPr>
          <w:rFonts w:hint="eastAsia" w:ascii="仿宋_GB2312" w:hAnsi="仿宋_GB2312" w:eastAsia="仿宋_GB2312" w:cs="仿宋_GB2312"/>
          <w:color w:val="000000"/>
          <w:sz w:val="32"/>
          <w:szCs w:val="32"/>
        </w:rPr>
        <w:t>根据《中华人民共和国采购法》第71条、第71条第3款、第78条，</w:t>
      </w:r>
      <w:r>
        <w:rPr>
          <w:rFonts w:hint="eastAsia" w:ascii="仿宋_GB2312" w:hAnsi="仿宋" w:eastAsia="仿宋_GB2312" w:cs="仿宋"/>
          <w:bCs/>
          <w:color w:val="000000"/>
          <w:sz w:val="32"/>
          <w:szCs w:val="32"/>
          <w:shd w:val="clear" w:color="auto" w:fill="FFFFFF"/>
        </w:rPr>
        <w:t>《中华人民共和国政府采购法实施条例》第66条、第68条第7款，</w:t>
      </w:r>
      <w:r>
        <w:rPr>
          <w:rFonts w:hint="eastAsia" w:ascii="仿宋_GB2312" w:hAnsi="仿宋" w:eastAsia="仿宋_GB2312" w:cs="仿宋"/>
          <w:color w:val="000000"/>
          <w:sz w:val="32"/>
          <w:szCs w:val="32"/>
        </w:rPr>
        <w:t>我局对你单位拟作出以下处理决定：</w:t>
      </w:r>
      <w:r>
        <w:rPr>
          <w:rFonts w:hint="eastAsia" w:ascii="仿宋_GB2312" w:hAnsi="仿宋" w:eastAsia="仿宋_GB2312" w:cs="仿宋"/>
          <w:bCs/>
          <w:color w:val="000000"/>
          <w:sz w:val="32"/>
          <w:szCs w:val="32"/>
          <w:shd w:val="clear" w:color="auto" w:fill="FFFFFF"/>
        </w:rPr>
        <w:t>责令限期改正、给予警告。</w:t>
      </w:r>
    </w:p>
    <w:p>
      <w:pPr>
        <w:spacing w:line="560" w:lineRule="exact"/>
        <w:rPr>
          <w:rFonts w:hint="default" w:ascii="黑体" w:hAnsi="黑体" w:eastAsia="黑体" w:cs="黑体"/>
          <w:sz w:val="32"/>
          <w:szCs w:val="32"/>
          <w:lang w:val="en-US" w:eastAsia="zh-CN"/>
        </w:rPr>
      </w:pPr>
      <w:r>
        <w:rPr>
          <w:rFonts w:hint="eastAsia" w:ascii="黑体" w:hAnsi="黑体" w:eastAsia="黑体" w:cs="黑体"/>
          <w:color w:val="000000"/>
          <w:sz w:val="32"/>
          <w:szCs w:val="32"/>
          <w:lang w:val="en-US" w:eastAsia="zh-CN"/>
        </w:rPr>
        <w:t>六、其他补充事宜</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本决定送达之日起生效。如你</w:t>
      </w:r>
      <w:r>
        <w:rPr>
          <w:rFonts w:hint="eastAsia" w:ascii="仿宋_GB2312" w:hAnsi="仿宋_GB2312" w:eastAsia="仿宋_GB2312" w:cs="仿宋_GB2312"/>
          <w:color w:val="000000"/>
          <w:sz w:val="32"/>
          <w:szCs w:val="32"/>
          <w:lang w:val="en-US" w:eastAsia="zh-CN"/>
        </w:rPr>
        <w:t>单位</w:t>
      </w:r>
      <w:r>
        <w:rPr>
          <w:rFonts w:hint="eastAsia" w:ascii="仿宋_GB2312" w:hAnsi="仿宋_GB2312" w:eastAsia="仿宋_GB2312" w:cs="仿宋_GB2312"/>
          <w:color w:val="000000"/>
          <w:sz w:val="32"/>
          <w:szCs w:val="32"/>
        </w:rPr>
        <w:t>不服本处罚决定，可在收到本决定书之日起60日内申请行政复议或者6个月内提起行政诉讼，复议或者诉讼期间本决定照常执行。</w:t>
      </w:r>
    </w:p>
    <w:p>
      <w:pPr>
        <w:ind w:firstLine="640" w:firstLineChars="200"/>
        <w:rPr>
          <w:rFonts w:hint="eastAsia" w:ascii="仿宋_GB2312" w:hAnsi="仿宋_GB2312" w:eastAsia="仿宋_GB2312" w:cs="仿宋_GB2312"/>
          <w:color w:val="000000"/>
          <w:sz w:val="32"/>
          <w:szCs w:val="32"/>
        </w:rPr>
      </w:pPr>
    </w:p>
    <w:p>
      <w:pPr>
        <w:spacing w:line="560" w:lineRule="exact"/>
        <w:ind w:firstLine="5600" w:firstLineChars="1750"/>
        <w:rPr>
          <w:rFonts w:hint="eastAsia" w:ascii="仿宋_GB2312" w:hAnsi="仿宋" w:eastAsia="仿宋_GB2312" w:cs="仿宋"/>
          <w:bCs/>
          <w:color w:val="000000"/>
          <w:sz w:val="32"/>
          <w:szCs w:val="32"/>
          <w:shd w:val="clear" w:color="auto" w:fill="FFFFFF"/>
        </w:rPr>
      </w:pPr>
    </w:p>
    <w:p>
      <w:pPr>
        <w:spacing w:line="560" w:lineRule="exact"/>
        <w:ind w:firstLine="5600" w:firstLineChars="1750"/>
        <w:rPr>
          <w:rFonts w:ascii="仿宋_GB2312" w:hAnsi="仿宋" w:eastAsia="仿宋_GB2312" w:cs="仿宋"/>
          <w:bCs/>
          <w:color w:val="000000"/>
          <w:sz w:val="32"/>
          <w:szCs w:val="32"/>
          <w:shd w:val="clear" w:color="auto" w:fill="FFFFFF"/>
        </w:rPr>
      </w:pPr>
      <w:r>
        <w:rPr>
          <w:rFonts w:hint="eastAsia" w:ascii="仿宋_GB2312" w:hAnsi="仿宋" w:eastAsia="仿宋_GB2312" w:cs="仿宋"/>
          <w:bCs/>
          <w:color w:val="000000"/>
          <w:sz w:val="32"/>
          <w:szCs w:val="32"/>
          <w:shd w:val="clear" w:color="auto" w:fill="FFFFFF"/>
        </w:rPr>
        <w:t xml:space="preserve">安福县财政局 </w:t>
      </w:r>
    </w:p>
    <w:p>
      <w:pPr>
        <w:ind w:firstLine="5440" w:firstLineChars="1700"/>
        <w:rPr>
          <w:rFonts w:hint="eastAsia" w:ascii="仿宋_GB2312" w:hAnsi="仿宋_GB2312" w:eastAsia="仿宋_GB2312" w:cs="仿宋_GB2312"/>
          <w:color w:val="000000"/>
          <w:sz w:val="32"/>
          <w:szCs w:val="32"/>
          <w:lang w:eastAsia="zh-CN"/>
        </w:rPr>
      </w:pPr>
      <w:bookmarkStart w:id="0" w:name="_GoBack"/>
      <w:bookmarkEnd w:id="0"/>
      <w:r>
        <w:rPr>
          <w:rFonts w:hint="eastAsia" w:ascii="仿宋_GB2312" w:hAnsi="仿宋" w:eastAsia="仿宋_GB2312" w:cs="仿宋"/>
          <w:bCs/>
          <w:color w:val="000000"/>
          <w:sz w:val="32"/>
          <w:szCs w:val="32"/>
          <w:shd w:val="clear" w:color="auto" w:fill="FFFFFF"/>
        </w:rPr>
        <w:t xml:space="preserve"> 2024年3月5日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NzRlNDk0YWZkYTY3Y2RhMDc1NGYyNjY0OWJhNzYifQ=="/>
  </w:docVars>
  <w:rsids>
    <w:rsidRoot w:val="725F2E3E"/>
    <w:rsid w:val="725F2E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2024-04-29T01:42:00Z</dcterms:created>
  <dc:creator>自由行走的花</dc:creator>
  <cp:lastModifiedBy>自由行走的花</cp:lastModifiedBy>
  <dcterms:modified xsi:type="dcterms:W3CDTF">2024-04-29T01:46:16Z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6CEF8D413FD54B32BCB2217CF9A226FD_11</vt:lpwstr>
  </property>
</Properties>
</file>