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color w:val="010000"/>
          <w:kern w:val="0"/>
        </w:rPr>
      </w:pPr>
      <w:r>
        <w:rPr>
          <w:rFonts w:hint="eastAsia" w:ascii="方正小标宋简体" w:eastAsia="方正小标宋简体"/>
          <w:color w:val="010000"/>
          <w:kern w:val="0"/>
          <w:sz w:val="44"/>
          <w:szCs w:val="44"/>
        </w:rPr>
        <w:t>行政处罚决定书</w:t>
      </w:r>
    </w:p>
    <w:p>
      <w:pPr>
        <w:rPr>
          <w:rFonts w:hint="eastAsia"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xml:space="preserve"> 中心-YC2021-004-1、中心-YC2021-004-2和中心-YC2021-004-3          </w:t>
      </w:r>
    </w:p>
    <w:p>
      <w:pPr>
        <w:rPr>
          <w:rFonts w:hint="eastAsia"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xml:space="preserve"> 宜春职业技术学院新校区学生宿舍公寓床项目第一包、第二包和第三包   </w:t>
      </w:r>
    </w:p>
    <w:p>
      <w:pPr>
        <w:rPr>
          <w:rFonts w:hint="eastAsia" w:ascii="黑体" w:hAnsi="黑体" w:eastAsia="黑体"/>
          <w:sz w:val="28"/>
          <w:szCs w:val="28"/>
        </w:rPr>
      </w:pPr>
      <w:r>
        <w:rPr>
          <w:rFonts w:hint="eastAsia" w:ascii="黑体" w:hAnsi="黑体" w:eastAsia="黑体"/>
          <w:sz w:val="28"/>
          <w:szCs w:val="28"/>
        </w:rPr>
        <w:t>三、相关当事人</w:t>
      </w:r>
    </w:p>
    <w:p>
      <w:pPr>
        <w:ind w:firstLine="565" w:firstLineChars="202"/>
        <w:rPr>
          <w:rFonts w:hint="eastAsia"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xml:space="preserve"> 吴永顺、黄地根、赵志平、钟志刚、易强、钟玉荣、王俊萍 </w:t>
      </w:r>
    </w:p>
    <w:p>
      <w:pPr>
        <w:ind w:firstLine="565" w:firstLineChars="202"/>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江西省宜春市袁州区  </w:t>
      </w:r>
    </w:p>
    <w:p>
      <w:pPr>
        <w:rPr>
          <w:rFonts w:hint="eastAsia" w:ascii="黑体" w:hAnsi="黑体" w:eastAsia="黑体"/>
          <w:sz w:val="28"/>
          <w:szCs w:val="28"/>
        </w:rPr>
      </w:pPr>
      <w:r>
        <w:rPr>
          <w:rFonts w:hint="eastAsia" w:ascii="黑体" w:hAnsi="黑体" w:eastAsia="黑体"/>
          <w:sz w:val="28"/>
          <w:szCs w:val="28"/>
        </w:rPr>
        <w:t>四、基本情况</w:t>
      </w:r>
    </w:p>
    <w:p>
      <w:pPr>
        <w:widowControl/>
        <w:autoSpaceDE w:val="0"/>
        <w:spacing w:line="500" w:lineRule="exact"/>
        <w:ind w:firstLine="548" w:firstLineChars="196"/>
        <w:rPr>
          <w:rFonts w:hint="eastAsia" w:ascii="仿宋" w:hAnsi="仿宋" w:eastAsia="仿宋"/>
          <w:sz w:val="28"/>
          <w:szCs w:val="28"/>
        </w:rPr>
      </w:pPr>
      <w:r>
        <w:rPr>
          <w:rFonts w:hint="eastAsia" w:ascii="仿宋" w:hAnsi="仿宋" w:eastAsia="仿宋"/>
          <w:sz w:val="28"/>
          <w:szCs w:val="28"/>
        </w:rPr>
        <w:t>2021年2月20日，吴永顺、黄地根、赵志平、钟志刚、易强、钟玉荣和王俊萍参加了宜春职业技术学院新校区学生宿舍公寓床项目第一包、第二包和第三包的评审。2021年2月24日，宜春职业技术学院向本机关反映，该项目三个包的候选中标供应商的样品与招标文件不符，该项目三个包的招标文件第三部分“项目要求”第三大点“参数要求”中2.2、2.3、4的条款中明确要求抽屉的挂面、书桌柜门、衣柜门板的抽面均采用PP注塑封边一次成型，且招标文件样品需求栏中明确注明了，开标时供应商提供以上小样，未提供或提供不全、不满足技术参数的视为无效投标。但该项目三个包候选中标商的样品与招标文件不符，抽面不是一次成型，均有螺丝固定。2021年2月25日，原评审委员会书面回复“上述三家供应商提供的样品与招标文件中样品要求不符”。</w:t>
      </w:r>
    </w:p>
    <w:p>
      <w:pPr>
        <w:widowControl/>
        <w:autoSpaceDE w:val="0"/>
        <w:spacing w:line="500" w:lineRule="exact"/>
        <w:ind w:firstLine="548" w:firstLineChars="196"/>
        <w:rPr>
          <w:rFonts w:hint="eastAsia" w:ascii="仿宋" w:hAnsi="仿宋" w:eastAsia="仿宋"/>
          <w:sz w:val="28"/>
          <w:szCs w:val="28"/>
        </w:rPr>
      </w:pPr>
      <w:r>
        <w:rPr>
          <w:rFonts w:hint="eastAsia" w:ascii="仿宋" w:hAnsi="仿宋" w:eastAsia="仿宋"/>
          <w:sz w:val="28"/>
          <w:szCs w:val="28"/>
        </w:rPr>
        <w:t>评标委员会在该项目评审过程中没有按照采购文件规定的评审标准评审。违反了</w:t>
      </w:r>
      <w:r>
        <w:rPr>
          <w:rFonts w:ascii="仿宋" w:hAnsi="仿宋" w:eastAsia="仿宋"/>
          <w:sz w:val="28"/>
          <w:szCs w:val="28"/>
        </w:rPr>
        <w:t>《</w:t>
      </w:r>
      <w:r>
        <w:rPr>
          <w:rFonts w:hint="eastAsia" w:ascii="仿宋" w:hAnsi="仿宋" w:eastAsia="仿宋"/>
          <w:sz w:val="28"/>
          <w:szCs w:val="28"/>
        </w:rPr>
        <w:t>中华人民共和国政府采购法实施条例</w:t>
      </w:r>
      <w:r>
        <w:rPr>
          <w:rFonts w:ascii="仿宋" w:hAnsi="仿宋" w:eastAsia="仿宋"/>
          <w:sz w:val="28"/>
          <w:szCs w:val="28"/>
        </w:rPr>
        <w:t>》第</w:t>
      </w:r>
      <w:r>
        <w:rPr>
          <w:rFonts w:hint="eastAsia" w:ascii="仿宋" w:hAnsi="仿宋" w:eastAsia="仿宋"/>
          <w:sz w:val="28"/>
          <w:szCs w:val="28"/>
        </w:rPr>
        <w:t>四十一</w:t>
      </w:r>
      <w:r>
        <w:rPr>
          <w:rFonts w:ascii="仿宋" w:hAnsi="仿宋" w:eastAsia="仿宋"/>
          <w:sz w:val="28"/>
          <w:szCs w:val="28"/>
        </w:rPr>
        <w:t>条</w:t>
      </w:r>
      <w:r>
        <w:rPr>
          <w:rFonts w:hint="eastAsia" w:ascii="仿宋" w:hAnsi="仿宋" w:eastAsia="仿宋"/>
          <w:sz w:val="28"/>
          <w:szCs w:val="28"/>
        </w:rPr>
        <w:t>之</w:t>
      </w:r>
      <w:r>
        <w:rPr>
          <w:rFonts w:ascii="仿宋" w:hAnsi="仿宋" w:eastAsia="仿宋"/>
          <w:sz w:val="28"/>
          <w:szCs w:val="28"/>
        </w:rPr>
        <w:t>规定</w:t>
      </w:r>
      <w:r>
        <w:rPr>
          <w:rFonts w:hint="eastAsia" w:ascii="仿宋" w:hAnsi="仿宋" w:eastAsia="仿宋"/>
          <w:sz w:val="28"/>
          <w:szCs w:val="28"/>
        </w:rPr>
        <w:t>：“评标委员会、竞争性谈判小组或者询价小组成员应当按照客观、公正、审慎的原则，根据采购文件规定的评审程序、评审方法和评审标准进行独立评审”。</w:t>
      </w:r>
    </w:p>
    <w:p>
      <w:pPr>
        <w:rPr>
          <w:rFonts w:hint="eastAsia" w:ascii="黑体" w:hAnsi="黑体" w:eastAsia="黑体"/>
          <w:sz w:val="28"/>
          <w:szCs w:val="28"/>
        </w:rPr>
      </w:pPr>
      <w:r>
        <w:rPr>
          <w:rFonts w:hint="eastAsia" w:ascii="黑体" w:hAnsi="黑体" w:eastAsia="黑体"/>
          <w:sz w:val="28"/>
          <w:szCs w:val="28"/>
        </w:rPr>
        <w:t>五、处理依据及结果</w:t>
      </w:r>
    </w:p>
    <w:p>
      <w:pPr>
        <w:widowControl/>
        <w:autoSpaceDE w:val="0"/>
        <w:spacing w:line="500" w:lineRule="exact"/>
        <w:ind w:firstLine="548" w:firstLineChars="196"/>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rPr>
        <w:t>《中</w:t>
      </w:r>
      <w:bookmarkStart w:id="0" w:name="_GoBack"/>
      <w:bookmarkEnd w:id="0"/>
      <w:r>
        <w:rPr>
          <w:rFonts w:hint="eastAsia" w:ascii="仿宋" w:hAnsi="仿宋" w:eastAsia="仿宋"/>
          <w:sz w:val="28"/>
          <w:szCs w:val="28"/>
        </w:rPr>
        <w:t>华人民共和国政府采购法实施条例》第七十五条之规定，作出以下行政处罚：</w:t>
      </w:r>
    </w:p>
    <w:p>
      <w:pPr>
        <w:widowControl/>
        <w:autoSpaceDE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1.警告；</w:t>
      </w:r>
    </w:p>
    <w:p>
      <w:pPr>
        <w:widowControl/>
        <w:autoSpaceDE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2.处罚款3000元。</w:t>
      </w:r>
    </w:p>
    <w:p>
      <w:pPr>
        <w:rPr>
          <w:rFonts w:hint="eastAsia" w:ascii="黑体" w:hAnsi="黑体" w:eastAsia="黑体" w:cs="仿宋"/>
          <w:sz w:val="28"/>
          <w:szCs w:val="28"/>
        </w:rPr>
      </w:pPr>
      <w:r>
        <w:rPr>
          <w:rFonts w:hint="eastAsia" w:ascii="黑体" w:hAnsi="黑体" w:eastAsia="黑体" w:cs="仿宋"/>
          <w:sz w:val="28"/>
          <w:szCs w:val="28"/>
        </w:rPr>
        <w:t>六、其他补充事宜</w:t>
      </w:r>
    </w:p>
    <w:p>
      <w:pPr>
        <w:ind w:firstLine="560" w:firstLineChars="200"/>
        <w:rPr>
          <w:rFonts w:hint="eastAsia" w:ascii="仿宋" w:hAnsi="仿宋" w:eastAsia="仿宋"/>
          <w:sz w:val="28"/>
          <w:szCs w:val="28"/>
        </w:rPr>
      </w:pPr>
      <w:r>
        <w:rPr>
          <w:rFonts w:hint="eastAsia" w:ascii="仿宋" w:hAnsi="仿宋" w:eastAsia="仿宋"/>
          <w:sz w:val="28"/>
          <w:szCs w:val="28"/>
        </w:rPr>
        <w:t>如不服本处罚决定，可以在接到本决定书之日起60日内，依法向宜春市人民政府或者江西省财政厅申请行政复议；或者在接到本决定书之日起6个月内依法向人民法院提起行政诉讼。</w:t>
      </w:r>
    </w:p>
    <w:p>
      <w:pPr>
        <w:rPr>
          <w:rFonts w:hint="eastAsia"/>
          <w:sz w:val="28"/>
          <w:szCs w:val="28"/>
        </w:rPr>
      </w:pPr>
      <w:r>
        <w:rPr>
          <w:sz w:val="28"/>
          <w:szCs w:val="28"/>
        </w:rPr>
        <w:t xml:space="preserve"> </w:t>
      </w:r>
    </w:p>
    <w:p>
      <w:pPr>
        <w:rPr>
          <w:sz w:val="28"/>
          <w:szCs w:val="28"/>
        </w:rPr>
      </w:pPr>
      <w:r>
        <w:rPr>
          <w:sz w:val="28"/>
          <w:szCs w:val="28"/>
        </w:rPr>
        <w:t xml:space="preserve"> </w:t>
      </w:r>
    </w:p>
    <w:p>
      <w:pPr>
        <w:widowControl/>
        <w:ind w:right="300"/>
        <w:jc w:val="right"/>
        <w:rPr>
          <w:rFonts w:ascii="仿宋" w:hAnsi="仿宋" w:eastAsia="仿宋"/>
          <w:sz w:val="28"/>
          <w:szCs w:val="28"/>
        </w:rPr>
      </w:pPr>
      <w:r>
        <w:rPr>
          <w:rFonts w:hint="eastAsia" w:ascii="仿宋" w:hAnsi="仿宋" w:eastAsia="仿宋"/>
          <w:sz w:val="28"/>
          <w:szCs w:val="28"/>
        </w:rPr>
        <w:t>宜春市财政局</w:t>
      </w:r>
    </w:p>
    <w:p>
      <w:pPr>
        <w:widowControl/>
        <w:ind w:right="300"/>
        <w:jc w:val="right"/>
        <w:rPr>
          <w:rFonts w:hint="eastAsia" w:ascii="仿宋" w:hAnsi="仿宋" w:eastAsia="仿宋"/>
          <w:sz w:val="28"/>
          <w:szCs w:val="28"/>
        </w:rPr>
      </w:pPr>
      <w:r>
        <w:rPr>
          <w:rFonts w:hint="eastAsia" w:ascii="仿宋" w:hAnsi="仿宋" w:eastAsia="仿宋"/>
          <w:sz w:val="28"/>
          <w:szCs w:val="28"/>
        </w:rPr>
        <w:t>2021年3月8日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132A"/>
    <w:rsid w:val="0088132A"/>
    <w:rsid w:val="00934E66"/>
    <w:rsid w:val="00FC3708"/>
    <w:rsid w:val="0A8F1F5B"/>
    <w:rsid w:val="0DE76E1A"/>
    <w:rsid w:val="30B6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
    <w:qFormat/>
    <w:uiPriority w:val="99"/>
    <w:pPr>
      <w:keepNext/>
      <w:keepLines/>
      <w:spacing w:before="340" w:after="330" w:line="576" w:lineRule="auto"/>
      <w:outlineLvl w:val="0"/>
    </w:pPr>
    <w:rPr>
      <w:b/>
      <w:bCs/>
      <w:kern w:val="44"/>
      <w:sz w:val="44"/>
      <w:szCs w:val="44"/>
    </w:rPr>
  </w:style>
  <w:style w:type="character" w:default="1" w:styleId="3">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128</Words>
  <Characters>735</Characters>
  <Lines>6</Lines>
  <Paragraphs>1</Paragraphs>
  <TotalTime>11</TotalTime>
  <ScaleCrop>false</ScaleCrop>
  <LinksUpToDate>false</LinksUpToDate>
  <CharactersWithSpaces>862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2021-04-02T07:49:00Z</dcterms:created>
  <dc:creator>微软用户</dc:creator>
  <cp:lastModifiedBy>Administrator</cp:lastModifiedBy>
  <dcterms:modified xsi:type="dcterms:W3CDTF">2021-04-02T08:01:17Z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