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atLeast"/>
        <w:ind w:left="860" w:leftChars="200" w:hanging="440" w:hangingChars="100"/>
        <w:jc w:val="center"/>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ind w:firstLine="3000" w:firstLineChars="10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永财购诉决[2023]13号</w:t>
      </w:r>
    </w:p>
    <w:p>
      <w:pPr>
        <w:widowControl/>
        <w:shd w:val="clear" w:color="auto" w:fill="FFFFFF"/>
        <w:spacing w:line="560" w:lineRule="atLeast"/>
        <w:jc w:val="center"/>
        <w:rPr>
          <w:rFonts w:hint="eastAsia" w:ascii="仿宋_GB2312" w:eastAsia="仿宋_GB2312"/>
          <w:sz w:val="28"/>
          <w:szCs w:val="28"/>
          <w:lang w:val="en-US" w:eastAsia="zh-CN"/>
        </w:rPr>
      </w:pPr>
    </w:p>
    <w:p>
      <w:pPr>
        <w:widowControl/>
        <w:shd w:val="clear" w:color="auto" w:fill="FFFFFF"/>
        <w:spacing w:line="560" w:lineRule="atLeast"/>
        <w:jc w:val="center"/>
        <w:rPr>
          <w:rFonts w:hint="eastAsia" w:ascii="仿宋_GB2312" w:eastAsia="仿宋_GB2312"/>
          <w:sz w:val="28"/>
          <w:szCs w:val="28"/>
          <w:lang w:val="en-US" w:eastAsia="zh-CN"/>
        </w:rPr>
      </w:pPr>
    </w:p>
    <w:p>
      <w:pPr>
        <w:widowControl/>
        <w:shd w:val="clear" w:color="auto" w:fill="FFFFFF"/>
        <w:spacing w:line="560" w:lineRule="atLeast"/>
        <w:ind w:left="862" w:leftChars="200" w:hanging="442" w:hangingChars="100"/>
        <w:jc w:val="center"/>
        <w:rPr>
          <w:rFonts w:hint="default" w:ascii="宋体" w:hAnsi="宋体" w:eastAsia="宋体" w:cs="宋体"/>
          <w:b/>
          <w:bCs/>
          <w:i w:val="0"/>
          <w:iCs w:val="0"/>
          <w:caps w:val="0"/>
          <w:color w:val="333333"/>
          <w:spacing w:val="0"/>
          <w:sz w:val="44"/>
          <w:szCs w:val="44"/>
          <w:shd w:val="clear" w:fill="FFFFFF"/>
          <w:lang w:val="en-US" w:eastAsia="zh-CN"/>
        </w:rPr>
      </w:pPr>
      <w:r>
        <w:rPr>
          <w:rFonts w:hint="eastAsia" w:ascii="仿宋_GB2312" w:hAnsi="仿宋_GB2312" w:eastAsia="仿宋_GB2312" w:cs="仿宋_GB2312"/>
          <w:b/>
          <w:bCs/>
          <w:i w:val="0"/>
          <w:iCs w:val="0"/>
          <w:caps w:val="0"/>
          <w:color w:val="333333"/>
          <w:spacing w:val="0"/>
          <w:sz w:val="44"/>
          <w:szCs w:val="44"/>
          <w:shd w:val="clear" w:fill="FFFFFF"/>
        </w:rPr>
        <w:t>投诉处理</w:t>
      </w:r>
      <w:r>
        <w:rPr>
          <w:rFonts w:hint="eastAsia" w:ascii="仿宋_GB2312" w:hAnsi="仿宋_GB2312" w:eastAsia="仿宋_GB2312" w:cs="仿宋_GB2312"/>
          <w:b/>
          <w:bCs/>
          <w:i w:val="0"/>
          <w:iCs w:val="0"/>
          <w:caps w:val="0"/>
          <w:color w:val="333333"/>
          <w:spacing w:val="0"/>
          <w:sz w:val="44"/>
          <w:szCs w:val="44"/>
          <w:shd w:val="clear" w:fill="FFFFFF"/>
          <w:lang w:val="en-US" w:eastAsia="zh-CN"/>
        </w:rPr>
        <w:t>结果公告</w:t>
      </w:r>
    </w:p>
    <w:p>
      <w:pPr>
        <w:widowControl/>
        <w:shd w:val="clear" w:color="auto" w:fill="FFFFFF"/>
        <w:spacing w:line="560" w:lineRule="atLeas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项目编号：</w:t>
      </w:r>
      <w:r>
        <w:rPr>
          <w:rFonts w:hint="eastAsia" w:ascii="仿宋_GB2312" w:hAnsi="仿宋_GB2312" w:eastAsia="仿宋_GB2312" w:cs="仿宋_GB2312"/>
          <w:sz w:val="32"/>
          <w:szCs w:val="32"/>
        </w:rPr>
        <w:t>吉购2023F000919000</w:t>
      </w:r>
    </w:p>
    <w:p>
      <w:pPr>
        <w:widowControl/>
        <w:shd w:val="clear" w:color="auto" w:fill="FFFFFF"/>
        <w:spacing w:line="560" w:lineRule="atLeast"/>
        <w:ind w:left="559" w:leftChars="266"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二、项目名称：</w:t>
      </w:r>
      <w:r>
        <w:rPr>
          <w:rFonts w:hint="eastAsia" w:ascii="仿宋_GB2312" w:hAnsi="仿宋_GB2312" w:eastAsia="仿宋_GB2312" w:cs="仿宋_GB2312"/>
          <w:sz w:val="32"/>
          <w:szCs w:val="32"/>
        </w:rPr>
        <w:t>永丰县垃圾分类配套设施（分类亭等）采购项目</w:t>
      </w:r>
      <w:bookmarkStart w:id="0" w:name="_GoBack"/>
      <w:bookmarkEnd w:id="0"/>
    </w:p>
    <w:p>
      <w:pPr>
        <w:widowControl/>
        <w:shd w:val="clear" w:color="auto" w:fill="FFFFFF"/>
        <w:spacing w:line="560" w:lineRule="atLeast"/>
        <w:ind w:left="559" w:leftChars="266" w:firstLine="0"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三、相关当事人</w:t>
      </w:r>
    </w:p>
    <w:p>
      <w:pPr>
        <w:widowControl/>
        <w:shd w:val="clear" w:color="auto" w:fill="FFFFFF"/>
        <w:spacing w:line="560" w:lineRule="atLeas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投诉人：</w:t>
      </w:r>
      <w:r>
        <w:rPr>
          <w:rFonts w:hint="eastAsia" w:ascii="仿宋_GB2312" w:hAnsi="仿宋_GB2312" w:eastAsia="仿宋_GB2312" w:cs="仿宋_GB2312"/>
          <w:b w:val="0"/>
          <w:bCs w:val="0"/>
          <w:sz w:val="32"/>
          <w:szCs w:val="32"/>
          <w:lang w:val="en-US" w:eastAsia="zh-CN"/>
        </w:rPr>
        <w:t>浙江恒来工贸有限公司</w:t>
      </w:r>
    </w:p>
    <w:p>
      <w:pPr>
        <w:widowControl/>
        <w:shd w:val="clear" w:color="auto" w:fill="FFFFFF"/>
        <w:spacing w:line="560" w:lineRule="atLeas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地址：丽水市缙云县新建镇洋山工业功能区四号地块 </w:t>
      </w:r>
    </w:p>
    <w:p>
      <w:pPr>
        <w:widowControl/>
        <w:shd w:val="clear" w:color="auto" w:fill="FFFFFF"/>
        <w:spacing w:line="560" w:lineRule="atLeas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被投诉人1：</w:t>
      </w:r>
      <w:r>
        <w:rPr>
          <w:rFonts w:hint="eastAsia" w:ascii="仿宋_GB2312" w:hAnsi="仿宋_GB2312" w:eastAsia="仿宋_GB2312" w:cs="仿宋_GB2312"/>
          <w:b w:val="0"/>
          <w:bCs w:val="0"/>
          <w:sz w:val="32"/>
          <w:szCs w:val="32"/>
          <w:lang w:val="en-US" w:eastAsia="zh-CN"/>
        </w:rPr>
        <w:t>江西宏大工程咨询有限公司</w:t>
      </w:r>
    </w:p>
    <w:p>
      <w:pPr>
        <w:widowControl/>
        <w:shd w:val="clear" w:color="auto" w:fill="FFFFFF"/>
        <w:spacing w:line="560" w:lineRule="atLeast"/>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地址：</w:t>
      </w:r>
      <w:r>
        <w:rPr>
          <w:rFonts w:hint="eastAsia" w:ascii="仿宋_GB2312" w:hAnsi="仿宋_GB2312" w:eastAsia="仿宋_GB2312" w:cs="仿宋_GB2312"/>
          <w:b w:val="0"/>
          <w:bCs w:val="0"/>
          <w:sz w:val="32"/>
          <w:szCs w:val="32"/>
          <w:lang w:val="en-US" w:eastAsia="zh-CN"/>
        </w:rPr>
        <w:t>永丰县恩江镇水陂头新小区A栋7号1楼</w:t>
      </w:r>
    </w:p>
    <w:p>
      <w:pPr>
        <w:widowControl/>
        <w:shd w:val="clear" w:color="auto" w:fill="FFFFFF"/>
        <w:spacing w:line="560" w:lineRule="atLeas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被投诉人2：</w:t>
      </w:r>
      <w:r>
        <w:rPr>
          <w:rFonts w:hint="eastAsia" w:ascii="仿宋_GB2312" w:hAnsi="仿宋_GB2312" w:eastAsia="仿宋_GB2312" w:cs="仿宋_GB2312"/>
          <w:b w:val="0"/>
          <w:bCs w:val="0"/>
          <w:sz w:val="32"/>
          <w:szCs w:val="32"/>
          <w:lang w:val="en-US" w:eastAsia="zh-CN"/>
        </w:rPr>
        <w:t>永丰县城市管理局</w:t>
      </w:r>
    </w:p>
    <w:p>
      <w:pPr>
        <w:widowControl/>
        <w:shd w:val="clear" w:color="auto" w:fill="FFFFFF"/>
        <w:spacing w:line="560" w:lineRule="atLeas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地址：</w:t>
      </w:r>
      <w:r>
        <w:rPr>
          <w:rFonts w:hint="eastAsia" w:ascii="仿宋_GB2312" w:hAnsi="仿宋_GB2312" w:eastAsia="仿宋_GB2312" w:cs="仿宋_GB2312"/>
          <w:b w:val="0"/>
          <w:bCs w:val="0"/>
          <w:sz w:val="32"/>
          <w:szCs w:val="32"/>
          <w:lang w:val="en-US" w:eastAsia="zh-CN"/>
        </w:rPr>
        <w:t>永丰县恩江镇跃进路13号</w:t>
      </w:r>
    </w:p>
    <w:p>
      <w:pPr>
        <w:widowControl/>
        <w:shd w:val="clear" w:color="auto" w:fill="FFFFFF"/>
        <w:spacing w:line="560" w:lineRule="atLeas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基本情况</w:t>
      </w:r>
    </w:p>
    <w:p>
      <w:pPr>
        <w:widowControl/>
        <w:shd w:val="clear" w:color="auto" w:fill="FFFFFF"/>
        <w:spacing w:line="560" w:lineRule="atLeas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rPr>
        <w:t>投诉人2023年8月</w:t>
      </w:r>
      <w:r>
        <w:rPr>
          <w:rFonts w:hint="eastAsia" w:ascii="仿宋_GB2312" w:hAnsi="仿宋_GB2312" w:eastAsia="仿宋_GB2312" w:cs="仿宋_GB2312"/>
          <w:b w:val="0"/>
          <w:bCs w:val="0"/>
          <w:sz w:val="32"/>
          <w:szCs w:val="32"/>
          <w:lang w:val="en-US" w:eastAsia="zh-CN"/>
        </w:rPr>
        <w:t>28</w:t>
      </w:r>
      <w:r>
        <w:rPr>
          <w:rFonts w:hint="eastAsia" w:ascii="仿宋_GB2312" w:hAnsi="仿宋_GB2312" w:eastAsia="仿宋_GB2312" w:cs="仿宋_GB2312"/>
          <w:b w:val="0"/>
          <w:bCs w:val="0"/>
          <w:sz w:val="32"/>
          <w:szCs w:val="32"/>
        </w:rPr>
        <w:t>日对本项目向采购代理机构提出质疑，代理机构于</w:t>
      </w: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rPr>
        <w:t>月1日对质疑进行了答复。</w:t>
      </w: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val="en-US" w:eastAsia="zh-CN"/>
        </w:rPr>
        <w:t>13</w:t>
      </w:r>
      <w:r>
        <w:rPr>
          <w:rFonts w:hint="eastAsia" w:ascii="仿宋_GB2312" w:hAnsi="仿宋_GB2312" w:eastAsia="仿宋_GB2312" w:cs="仿宋_GB2312"/>
          <w:b w:val="0"/>
          <w:bCs w:val="0"/>
          <w:sz w:val="32"/>
          <w:szCs w:val="32"/>
        </w:rPr>
        <w:t>日本机关收到投诉人递交的投诉函</w:t>
      </w:r>
      <w:r>
        <w:rPr>
          <w:rFonts w:hint="eastAsia" w:ascii="仿宋_GB2312" w:hAnsi="仿宋_GB2312" w:eastAsia="仿宋_GB2312" w:cs="仿宋_GB2312"/>
          <w:sz w:val="32"/>
          <w:szCs w:val="32"/>
        </w:rPr>
        <w:t>。</w:t>
      </w:r>
      <w:r>
        <w:rPr>
          <w:rFonts w:hint="eastAsia" w:ascii="仿宋_GB2312" w:hAnsi="仿宋_GB2312" w:eastAsia="仿宋_GB2312" w:cs="仿宋_GB2312"/>
          <w:i w:val="0"/>
          <w:iCs w:val="0"/>
          <w:caps w:val="0"/>
          <w:color w:val="333333"/>
          <w:spacing w:val="0"/>
          <w:sz w:val="32"/>
          <w:szCs w:val="32"/>
          <w:shd w:val="clear" w:fill="FFFFFF"/>
        </w:rPr>
        <w:t>经依法审查</w:t>
      </w:r>
      <w:r>
        <w:rPr>
          <w:rFonts w:hint="eastAsia" w:ascii="仿宋_GB2312" w:hAnsi="仿宋_GB2312" w:eastAsia="仿宋_GB2312" w:cs="仿宋_GB2312"/>
          <w:b w:val="0"/>
          <w:bCs w:val="0"/>
          <w:sz w:val="32"/>
          <w:szCs w:val="32"/>
          <w:lang w:val="en-US" w:eastAsia="zh-CN"/>
        </w:rPr>
        <w:t>，现本投诉案已审查终结。</w:t>
      </w:r>
    </w:p>
    <w:p>
      <w:pPr>
        <w:widowControl/>
        <w:shd w:val="clear" w:color="auto" w:fill="FFFFFF"/>
        <w:spacing w:line="560" w:lineRule="atLeas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五、投诉事项及被投诉人答复</w:t>
      </w:r>
    </w:p>
    <w:p>
      <w:pPr>
        <w:widowControl/>
        <w:numPr>
          <w:ilvl w:val="0"/>
          <w:numId w:val="0"/>
        </w:numPr>
        <w:shd w:val="clear" w:color="auto" w:fill="FFFFFF"/>
        <w:spacing w:line="560" w:lineRule="atLeas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投诉事项称1：带有倾向性的技术参数要求，变相设置资格条件，其他不合理条件限制或者排斥潜在供应商。</w:t>
      </w:r>
    </w:p>
    <w:p>
      <w:pPr>
        <w:widowControl/>
        <w:numPr>
          <w:ilvl w:val="0"/>
          <w:numId w:val="0"/>
        </w:numPr>
        <w:shd w:val="clear" w:color="auto" w:fill="FFFFFF"/>
        <w:spacing w:line="560" w:lineRule="atLeas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事实依据：招标文件综合评分标准/技术基础分：完全响应招标文件“技术参数及要求”的得30分，有任意一项不满足视为无效投标处理。</w:t>
      </w:r>
    </w:p>
    <w:p>
      <w:pPr>
        <w:widowControl/>
        <w:numPr>
          <w:ilvl w:val="0"/>
          <w:numId w:val="0"/>
        </w:numPr>
        <w:shd w:val="clear" w:color="auto" w:fill="FFFFFF"/>
        <w:spacing w:line="560" w:lineRule="atLeast"/>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被投诉人答复：投诉的技术参数是采购人根据自己单位的实际需求和项目特点制定的，与本项目的采购需求相适应，以保证招标产品的技术先进、质量高、稳定性强，符合项目的采购目标和实际使用要求，不是资格条件限制供应商，也没有行业、企业大中小等倾向性条件。市场上有3家以上制造商的产品符合，供应商根据采购人的技术参数和要求，选择适合的产品（制造商）参与投标即可。因此，技术参数的设置符合《政府采购需求管理办法》等法规，不是以不合理条件限制或者排斥潜在供应商。投诉不成立。</w:t>
      </w:r>
    </w:p>
    <w:p>
      <w:pPr>
        <w:widowControl/>
        <w:numPr>
          <w:ilvl w:val="0"/>
          <w:numId w:val="0"/>
        </w:numPr>
        <w:shd w:val="clear" w:color="auto" w:fill="FFFFFF"/>
        <w:spacing w:line="560" w:lineRule="atLeas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投诉事项2：以不合理条件限制、排斥潜在投标人或者投标人。且与实际采购需要不相适应。</w:t>
      </w:r>
    </w:p>
    <w:p>
      <w:pPr>
        <w:widowControl/>
        <w:numPr>
          <w:ilvl w:val="0"/>
          <w:numId w:val="0"/>
        </w:numPr>
        <w:shd w:val="clear" w:color="auto" w:fill="FFFFFF"/>
        <w:spacing w:line="560" w:lineRule="atLeas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事实依据：招标文件评分标准关于检测报告的评审：</w:t>
      </w:r>
    </w:p>
    <w:p>
      <w:pPr>
        <w:widowControl/>
        <w:numPr>
          <w:ilvl w:val="0"/>
          <w:numId w:val="0"/>
        </w:numPr>
        <w:shd w:val="clear" w:color="auto" w:fill="FFFFFF"/>
        <w:spacing w:line="560" w:lineRule="atLeas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1、(1)304不锈钢板原材料性能优越性：盐雾试验耐腐蚀时间≥ 2000(含以上)小时且漆膜附着力≤1(含以下)级的得2 分；</w:t>
      </w:r>
    </w:p>
    <w:p>
      <w:pPr>
        <w:widowControl/>
        <w:numPr>
          <w:ilvl w:val="0"/>
          <w:numId w:val="0"/>
        </w:numPr>
        <w:shd w:val="clear" w:color="auto" w:fill="FFFFFF"/>
        <w:spacing w:line="560" w:lineRule="atLeas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(2)304不锈钢板原材料性能优越性：盐雾试验耐腐蚀时间シ 2500(含以上)小时且漆膜附着力≤1(含以下)级的得2 分：</w:t>
      </w:r>
    </w:p>
    <w:p>
      <w:pPr>
        <w:widowControl/>
        <w:numPr>
          <w:ilvl w:val="0"/>
          <w:numId w:val="0"/>
        </w:numPr>
        <w:shd w:val="clear" w:color="auto" w:fill="FFFFFF"/>
        <w:spacing w:line="560" w:lineRule="atLeas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(3)盐雾试验耐腐蚀时间达到≥3000(含以上)小时且漆膜附 着力≤1(含以下)级的得2分；本项最高得6分。</w:t>
      </w:r>
    </w:p>
    <w:p>
      <w:pPr>
        <w:widowControl/>
        <w:numPr>
          <w:ilvl w:val="0"/>
          <w:numId w:val="0"/>
        </w:numPr>
        <w:shd w:val="clear" w:color="auto" w:fill="FFFFFF"/>
        <w:spacing w:line="560" w:lineRule="atLeast"/>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被投拆人答复：投诉成立，将投诉事项2重新修改为“项目实施技术方案”。</w:t>
      </w:r>
    </w:p>
    <w:p>
      <w:pPr>
        <w:widowControl/>
        <w:numPr>
          <w:ilvl w:val="0"/>
          <w:numId w:val="0"/>
        </w:numPr>
        <w:shd w:val="clear" w:color="auto" w:fill="FFFFFF"/>
        <w:spacing w:line="560" w:lineRule="atLeast"/>
        <w:ind w:firstLine="643"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六、处理依据及结果</w:t>
      </w:r>
    </w:p>
    <w:p>
      <w:pPr>
        <w:widowControl/>
        <w:numPr>
          <w:ilvl w:val="0"/>
          <w:numId w:val="0"/>
        </w:numPr>
        <w:shd w:val="clear" w:color="auto" w:fill="FFFFFF"/>
        <w:spacing w:line="560" w:lineRule="atLeast"/>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投诉人所称投诉事项1：带有倾向性的技术参数要求，变相设置资格条件，其他不合理条件限制或者排斥潜在供应商。事实依据：招标文件综合评分标准/技术基础分：完全响应招标文件“技术参数及要求”的得30分，有任意一项不满足视为无效投标处理。经查：采购人设定的技术参数如“招标文件第46页9、桶身与把手连接处设纵向加强筋12 条，把手位置具有防滑设计和凹凸设计。桶沿后上方设置两只镂空提手，把手部位加大加宽，增大把手受力面积范围和受力幅度，大大增加了把手的使用寿命，表面有凸起防滑颗粒，增强提手强度。把手左右两侧边缘设有圆形 PVC 材质垃圾袋收紧装置和挂钩设计，方便垃圾袋携带收集垃圾，干净卫生，环卫人员能将垃圾袋收紧扣牢且不易松脱”是根据本项目的采购需求和项目特点设定的，市场上有3家以上制造商的产品符合，技术参数的设置符合《政府采购需求管理办法》等法规，不是以不合理条件限制或者排斥潜在供应商。投诉不成立。</w:t>
      </w:r>
    </w:p>
    <w:p>
      <w:pPr>
        <w:pStyle w:val="2"/>
        <w:jc w:val="both"/>
        <w:rPr>
          <w:rFonts w:hint="default"/>
          <w:lang w:val="en-US" w:eastAsia="zh-CN"/>
        </w:rPr>
      </w:pPr>
      <w:r>
        <w:rPr>
          <w:rFonts w:hint="eastAsia" w:ascii="仿宋" w:hAnsi="仿宋" w:eastAsia="仿宋" w:cs="仿宋"/>
          <w:kern w:val="2"/>
          <w:sz w:val="30"/>
          <w:szCs w:val="30"/>
          <w:lang w:val="en-US" w:eastAsia="zh-CN" w:bidi="ar"/>
        </w:rPr>
        <w:t xml:space="preserve">     </w:t>
      </w:r>
      <w:r>
        <w:rPr>
          <w:rFonts w:hint="eastAsia" w:ascii="仿宋_GB2312" w:hAnsi="仿宋_GB2312" w:eastAsia="仿宋_GB2312" w:cs="仿宋_GB2312"/>
          <w:sz w:val="32"/>
          <w:szCs w:val="32"/>
          <w:lang w:val="en-US" w:eastAsia="zh-CN"/>
        </w:rPr>
        <w:t>投诉人所称投诉事项2：投诉成立。设置的304不锈钢评审因素与实际采购需求不相适应。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kern w:val="2"/>
          <w:sz w:val="32"/>
          <w:szCs w:val="32"/>
          <w:lang w:val="en-US" w:eastAsia="zh-CN" w:bidi="ar-SA"/>
        </w:rPr>
        <w:t>上述事实依据有招标文件、专家协助答复意见及相关答复材料等为证。法律依据为《中华人民共和国政府采购法》《中华人民共和国政府采购法实施条例》《政府采购质疑和投诉办法》（财政部令第94号）</w:t>
      </w:r>
      <w:r>
        <w:rPr>
          <w:rFonts w:hint="eastAsia" w:ascii="仿宋_GB2312" w:hAnsi="仿宋_GB2312" w:eastAsia="仿宋_GB2312" w:cs="仿宋_GB2312"/>
          <w:b w:val="0"/>
          <w:bCs w:val="0"/>
          <w:sz w:val="32"/>
          <w:szCs w:val="32"/>
          <w:lang w:val="en-US" w:eastAsia="zh-CN"/>
        </w:rPr>
        <w:t>《江西省政府采购管理实施办法（试行）》</w:t>
      </w:r>
      <w:r>
        <w:rPr>
          <w:rFonts w:hint="eastAsia" w:ascii="仿宋_GB2312" w:hAnsi="仿宋_GB2312" w:eastAsia="仿宋_GB2312" w:cs="仿宋_GB2312"/>
          <w:b w:val="0"/>
          <w:bCs w:val="0"/>
          <w:kern w:val="2"/>
          <w:sz w:val="32"/>
          <w:szCs w:val="32"/>
          <w:lang w:val="en-US" w:eastAsia="zh-CN" w:bidi="ar-SA"/>
        </w:rPr>
        <w:t>等相关法律法规。</w:t>
      </w:r>
    </w:p>
    <w:p>
      <w:pPr>
        <w:widowControl/>
        <w:numPr>
          <w:ilvl w:val="0"/>
          <w:numId w:val="0"/>
        </w:numPr>
        <w:shd w:val="clear" w:color="auto" w:fill="FFFFFF"/>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综上所述</w:t>
      </w:r>
      <w:r>
        <w:rPr>
          <w:rFonts w:hint="eastAsia" w:ascii="仿宋_GB2312" w:hAnsi="仿宋_GB2312" w:eastAsia="仿宋_GB2312" w:cs="仿宋_GB2312"/>
          <w:b w:val="0"/>
          <w:bCs w:val="0"/>
          <w:kern w:val="2"/>
          <w:sz w:val="32"/>
          <w:szCs w:val="32"/>
          <w:lang w:val="en-US" w:eastAsia="zh-CN" w:bidi="ar-SA"/>
        </w:rPr>
        <w:t>，投诉人的投诉事项一不成立；投诉事项二成立，责令采购人修改采购文件，重新组织采购活动（采购人已在江西省公共资源交易网发布变更公告，请相关当事人自行查看）。</w:t>
      </w:r>
    </w:p>
    <w:p>
      <w:pPr>
        <w:widowControl/>
        <w:numPr>
          <w:ilvl w:val="0"/>
          <w:numId w:val="0"/>
        </w:numPr>
        <w:shd w:val="clear" w:color="auto" w:fill="FFFFFF"/>
        <w:spacing w:line="560" w:lineRule="atLeast"/>
        <w:ind w:firstLine="643" w:firstLineChars="200"/>
        <w:rPr>
          <w:rFonts w:hint="eastAsia" w:ascii="仿宋_GB2312" w:hAnsi="仿宋_GB2312" w:eastAsia="仿宋_GB2312" w:cs="仿宋_GB2312"/>
          <w:b/>
          <w:bCs/>
          <w:i w:val="0"/>
          <w:iCs w:val="0"/>
          <w:caps w:val="0"/>
          <w:color w:val="333333"/>
          <w:spacing w:val="0"/>
          <w:sz w:val="32"/>
          <w:szCs w:val="32"/>
          <w:shd w:val="clear" w:fill="FFFFFF"/>
        </w:rPr>
      </w:pP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权利告知</w:t>
      </w:r>
    </w:p>
    <w:p>
      <w:pPr>
        <w:widowControl/>
        <w:shd w:val="clear" w:color="auto" w:fill="FFFFFF"/>
        <w:spacing w:line="560" w:lineRule="atLeas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如不服本决定，可以在接到本决定书之日起60日内向</w:t>
      </w:r>
      <w:r>
        <w:rPr>
          <w:rFonts w:hint="eastAsia" w:ascii="仿宋_GB2312" w:hAnsi="仿宋_GB2312" w:eastAsia="仿宋_GB2312" w:cs="仿宋_GB2312"/>
          <w:b w:val="0"/>
          <w:bCs w:val="0"/>
          <w:sz w:val="32"/>
          <w:szCs w:val="32"/>
          <w:lang w:val="en-US" w:eastAsia="zh-CN"/>
        </w:rPr>
        <w:t>永丰县</w:t>
      </w:r>
      <w:r>
        <w:rPr>
          <w:rFonts w:hint="eastAsia" w:ascii="仿宋_GB2312" w:hAnsi="仿宋_GB2312" w:eastAsia="仿宋_GB2312" w:cs="仿宋_GB2312"/>
          <w:b w:val="0"/>
          <w:bCs w:val="0"/>
          <w:sz w:val="32"/>
          <w:szCs w:val="32"/>
        </w:rPr>
        <w:t>人民政府申请行政复议，或者在接到本决定书之日起6个月内依法向</w:t>
      </w:r>
      <w:r>
        <w:rPr>
          <w:rFonts w:hint="eastAsia" w:ascii="仿宋_GB2312" w:hAnsi="仿宋_GB2312" w:eastAsia="仿宋_GB2312" w:cs="仿宋_GB2312"/>
          <w:b w:val="0"/>
          <w:bCs w:val="0"/>
          <w:sz w:val="32"/>
          <w:szCs w:val="32"/>
          <w:lang w:val="en-US" w:eastAsia="zh-CN"/>
        </w:rPr>
        <w:t>永丰县</w:t>
      </w:r>
      <w:r>
        <w:rPr>
          <w:rFonts w:hint="eastAsia" w:ascii="仿宋_GB2312" w:hAnsi="仿宋_GB2312" w:eastAsia="仿宋_GB2312" w:cs="仿宋_GB2312"/>
          <w:b w:val="0"/>
          <w:bCs w:val="0"/>
          <w:sz w:val="32"/>
          <w:szCs w:val="32"/>
        </w:rPr>
        <w:t>人民法院提起行政诉讼。</w:t>
      </w:r>
    </w:p>
    <w:p>
      <w:pPr>
        <w:widowControl/>
        <w:shd w:val="clear" w:color="auto" w:fill="FFFFFF"/>
        <w:spacing w:line="560" w:lineRule="atLeast"/>
        <w:ind w:firstLine="6080" w:firstLineChars="1900"/>
        <w:rPr>
          <w:rFonts w:hint="eastAsia" w:ascii="仿宋_GB2312" w:hAnsi="仿宋_GB2312" w:eastAsia="仿宋_GB2312" w:cs="仿宋_GB2312"/>
          <w:b w:val="0"/>
          <w:bCs w:val="0"/>
          <w:sz w:val="32"/>
          <w:szCs w:val="32"/>
          <w:lang w:val="en-US" w:eastAsia="zh-CN"/>
        </w:rPr>
      </w:pPr>
    </w:p>
    <w:p>
      <w:pPr>
        <w:widowControl/>
        <w:shd w:val="clear" w:color="auto" w:fill="FFFFFF"/>
        <w:spacing w:line="560" w:lineRule="atLeast"/>
        <w:ind w:firstLine="6080" w:firstLineChars="1900"/>
        <w:rPr>
          <w:rFonts w:hint="eastAsia" w:ascii="仿宋_GB2312" w:hAnsi="仿宋_GB2312" w:eastAsia="仿宋_GB2312" w:cs="仿宋_GB2312"/>
          <w:b w:val="0"/>
          <w:bCs w:val="0"/>
          <w:sz w:val="32"/>
          <w:szCs w:val="32"/>
          <w:lang w:val="en-US" w:eastAsia="zh-CN"/>
        </w:rPr>
      </w:pPr>
    </w:p>
    <w:p>
      <w:pPr>
        <w:widowControl/>
        <w:shd w:val="clear" w:color="auto" w:fill="FFFFFF"/>
        <w:spacing w:line="560" w:lineRule="atLeast"/>
        <w:ind w:firstLine="6080" w:firstLineChars="1900"/>
        <w:rPr>
          <w:rFonts w:hint="eastAsia" w:ascii="仿宋_GB2312" w:hAnsi="仿宋_GB2312" w:eastAsia="仿宋_GB2312" w:cs="仿宋_GB2312"/>
          <w:b w:val="0"/>
          <w:bCs w:val="0"/>
          <w:sz w:val="32"/>
          <w:szCs w:val="32"/>
          <w:lang w:val="en-US" w:eastAsia="zh-CN"/>
        </w:rPr>
      </w:pPr>
    </w:p>
    <w:p>
      <w:pPr>
        <w:widowControl/>
        <w:shd w:val="clear" w:color="auto" w:fill="FFFFFF"/>
        <w:spacing w:line="560" w:lineRule="atLeast"/>
        <w:ind w:firstLine="6080" w:firstLineChars="19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永丰县财政局</w:t>
      </w:r>
    </w:p>
    <w:p>
      <w:pPr>
        <w:widowControl/>
        <w:shd w:val="clear" w:color="auto" w:fill="FFFFFF"/>
        <w:spacing w:line="560" w:lineRule="atLeast"/>
        <w:rPr>
          <w:rFonts w:hint="eastAsia" w:ascii="仿宋_GB2312" w:hAnsi="仿宋_GB2312" w:eastAsia="仿宋_GB2312" w:cs="仿宋_GB2312"/>
          <w:b w:val="0"/>
          <w:bCs w:val="0"/>
          <w:sz w:val="28"/>
          <w:szCs w:val="32"/>
        </w:rPr>
      </w:pPr>
      <w:r>
        <w:rPr>
          <w:rFonts w:hint="eastAsia" w:ascii="仿宋_GB2312" w:hAnsi="仿宋_GB2312" w:eastAsia="仿宋_GB2312" w:cs="仿宋_GB2312"/>
          <w:b w:val="0"/>
          <w:bCs w:val="0"/>
          <w:sz w:val="32"/>
          <w:szCs w:val="32"/>
          <w:lang w:val="en-US" w:eastAsia="zh-CN"/>
        </w:rPr>
        <w:t xml:space="preserve">                                     2023年9月26日</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28"/>
          <w:szCs w:val="32"/>
        </w:rPr>
        <w:t xml:space="preserve">                </w:t>
      </w:r>
    </w:p>
    <w:sectPr>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5NmZlMDk4M2U1ZTgxZDJkNzY1Njg2ZjJkNTZmZjYifQ=="/>
  </w:docVars>
  <w:rsids>
    <w:rsidRoot w:val="00F812D3"/>
    <w:rsid w:val="00023FE4"/>
    <w:rsid w:val="00025953"/>
    <w:rsid w:val="00031CD0"/>
    <w:rsid w:val="001D5705"/>
    <w:rsid w:val="002009B6"/>
    <w:rsid w:val="0021795D"/>
    <w:rsid w:val="00283553"/>
    <w:rsid w:val="00293C96"/>
    <w:rsid w:val="00334503"/>
    <w:rsid w:val="00365D25"/>
    <w:rsid w:val="00371E20"/>
    <w:rsid w:val="003A70E4"/>
    <w:rsid w:val="003C3537"/>
    <w:rsid w:val="004B1330"/>
    <w:rsid w:val="004D5740"/>
    <w:rsid w:val="006022FB"/>
    <w:rsid w:val="0063355E"/>
    <w:rsid w:val="00665E63"/>
    <w:rsid w:val="007E244C"/>
    <w:rsid w:val="00802177"/>
    <w:rsid w:val="00806421"/>
    <w:rsid w:val="00893836"/>
    <w:rsid w:val="008B4833"/>
    <w:rsid w:val="00A22B85"/>
    <w:rsid w:val="00BB0FFD"/>
    <w:rsid w:val="00C0473E"/>
    <w:rsid w:val="00C32DD1"/>
    <w:rsid w:val="00CA0BAD"/>
    <w:rsid w:val="00CB63C3"/>
    <w:rsid w:val="00CF30E9"/>
    <w:rsid w:val="00CF605D"/>
    <w:rsid w:val="00D33324"/>
    <w:rsid w:val="00D83CAE"/>
    <w:rsid w:val="00DB4D27"/>
    <w:rsid w:val="00EC1611"/>
    <w:rsid w:val="00F02827"/>
    <w:rsid w:val="00F812D3"/>
    <w:rsid w:val="00F9340F"/>
    <w:rsid w:val="00FD6C20"/>
    <w:rsid w:val="00FE3DED"/>
    <w:rsid w:val="036B01F4"/>
    <w:rsid w:val="0596482A"/>
    <w:rsid w:val="08D24D3B"/>
    <w:rsid w:val="0A7A6896"/>
    <w:rsid w:val="0E76520D"/>
    <w:rsid w:val="115912F5"/>
    <w:rsid w:val="12FE4ADB"/>
    <w:rsid w:val="13EB21F9"/>
    <w:rsid w:val="170257C7"/>
    <w:rsid w:val="1C280A6A"/>
    <w:rsid w:val="1CD001DE"/>
    <w:rsid w:val="1E1F4A47"/>
    <w:rsid w:val="1FF1600F"/>
    <w:rsid w:val="222E588B"/>
    <w:rsid w:val="22C668AB"/>
    <w:rsid w:val="23CE30BE"/>
    <w:rsid w:val="243E5B16"/>
    <w:rsid w:val="25524EF5"/>
    <w:rsid w:val="26537907"/>
    <w:rsid w:val="27764078"/>
    <w:rsid w:val="27793638"/>
    <w:rsid w:val="291F71B4"/>
    <w:rsid w:val="2A934DCF"/>
    <w:rsid w:val="2C2C491A"/>
    <w:rsid w:val="2E872A38"/>
    <w:rsid w:val="2EF55C95"/>
    <w:rsid w:val="357A2F85"/>
    <w:rsid w:val="376F718C"/>
    <w:rsid w:val="377F4179"/>
    <w:rsid w:val="379817AF"/>
    <w:rsid w:val="38D6238E"/>
    <w:rsid w:val="3956004C"/>
    <w:rsid w:val="3C3E419D"/>
    <w:rsid w:val="3CEF05EA"/>
    <w:rsid w:val="3DB86DD6"/>
    <w:rsid w:val="43F136A4"/>
    <w:rsid w:val="4BC0129A"/>
    <w:rsid w:val="4C225E2E"/>
    <w:rsid w:val="4EA70152"/>
    <w:rsid w:val="4FF57235"/>
    <w:rsid w:val="51CC0F87"/>
    <w:rsid w:val="57792810"/>
    <w:rsid w:val="5A696955"/>
    <w:rsid w:val="5A762E3E"/>
    <w:rsid w:val="5BC81BF5"/>
    <w:rsid w:val="5E1216FE"/>
    <w:rsid w:val="642167B4"/>
    <w:rsid w:val="661D2E5A"/>
    <w:rsid w:val="69397C5D"/>
    <w:rsid w:val="6AD27B71"/>
    <w:rsid w:val="6CFA6F55"/>
    <w:rsid w:val="6F57316B"/>
    <w:rsid w:val="701B6A20"/>
    <w:rsid w:val="716B5DED"/>
    <w:rsid w:val="72A810AE"/>
    <w:rsid w:val="72DB2468"/>
    <w:rsid w:val="74795FE8"/>
    <w:rsid w:val="75295853"/>
    <w:rsid w:val="75A562CE"/>
    <w:rsid w:val="75A80913"/>
    <w:rsid w:val="77177B54"/>
    <w:rsid w:val="774E77F3"/>
    <w:rsid w:val="78474B59"/>
    <w:rsid w:val="7A2A00A3"/>
    <w:rsid w:val="7CCB0AC0"/>
    <w:rsid w:val="7DE82A78"/>
    <w:rsid w:val="7F024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0"/>
    <w:unhideWhenUsed/>
    <w:qFormat/>
    <w:uiPriority w:val="99"/>
    <w:pPr>
      <w:tabs>
        <w:tab w:val="center" w:pos="4153"/>
        <w:tab w:val="right" w:pos="8306"/>
      </w:tabs>
      <w:snapToGrid w:val="0"/>
      <w:jc w:val="center"/>
    </w:pPr>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character" w:styleId="7">
    <w:name w:val="FollowedHyperlink"/>
    <w:basedOn w:val="6"/>
    <w:semiHidden/>
    <w:unhideWhenUsed/>
    <w:qFormat/>
    <w:uiPriority w:val="99"/>
    <w:rPr>
      <w:color w:val="800080"/>
      <w:u w:val="none"/>
    </w:rPr>
  </w:style>
  <w:style w:type="character" w:styleId="8">
    <w:name w:val="Emphasis"/>
    <w:basedOn w:val="6"/>
    <w:qFormat/>
    <w:uiPriority w:val="20"/>
  </w:style>
  <w:style w:type="character" w:styleId="9">
    <w:name w:val="Hyperlink"/>
    <w:basedOn w:val="6"/>
    <w:semiHidden/>
    <w:unhideWhenUsed/>
    <w:qFormat/>
    <w:uiPriority w:val="99"/>
    <w:rPr>
      <w:color w:val="0000FF"/>
      <w:u w:val="none"/>
    </w:rPr>
  </w:style>
  <w:style w:type="character" w:customStyle="1" w:styleId="10">
    <w:name w:val="页眉 字符"/>
    <w:basedOn w:val="6"/>
    <w:link w:val="2"/>
    <w:qFormat/>
    <w:uiPriority w:val="99"/>
    <w:rPr>
      <w:sz w:val="18"/>
      <w:szCs w:val="18"/>
    </w:rPr>
  </w:style>
  <w:style w:type="character" w:customStyle="1" w:styleId="11">
    <w:name w:val="页脚 字符"/>
    <w:basedOn w:val="6"/>
    <w:link w:val="4"/>
    <w:qFormat/>
    <w:uiPriority w:val="99"/>
    <w:rPr>
      <w:sz w:val="18"/>
      <w:szCs w:val="18"/>
    </w:rPr>
  </w:style>
  <w:style w:type="paragraph" w:styleId="12">
    <w:name w:val="List Paragraph"/>
    <w:basedOn w:val="1"/>
    <w:autoRedefine/>
    <w:qFormat/>
    <w:uiPriority w:val="34"/>
    <w:pPr>
      <w:ind w:firstLine="420" w:firstLineChars="200"/>
    </w:pPr>
  </w:style>
  <w:style w:type="character" w:customStyle="1" w:styleId="13">
    <w:name w:val="_37aak"/>
    <w:basedOn w:val="6"/>
    <w:autoRedefine/>
    <w:qFormat/>
    <w:uiPriority w:val="0"/>
  </w:style>
  <w:style w:type="character" w:customStyle="1" w:styleId="14">
    <w:name w:val="hover7"/>
    <w:basedOn w:val="6"/>
    <w:autoRedefine/>
    <w:qFormat/>
    <w:uiPriority w:val="0"/>
    <w:rPr>
      <w:color w:val="315EF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1894</Words>
  <Characters>2027</Characters>
  <Lines>6</Lines>
  <Paragraphs>1</Paragraphs>
  <TotalTime>148</TotalTime>
  <ScaleCrop>false</ScaleCrop>
  <LinksUpToDate>false</LinksUpToDate>
  <CharactersWithSpaces>2086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2023-04-24T14:25:00Z</dcterms:created>
  <dc:creator>XXX</dc:creator>
  <cp:lastModifiedBy>半轮明月</cp:lastModifiedBy>
  <cp:lastPrinted>2023-09-27T03:24:00Z</cp:lastPrinted>
  <dcterms:modified xsi:type="dcterms:W3CDTF">2024-02-23T08:33:03Z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20B63F4A1C124D1F99E5AF3263A2199D_12</vt:lpwstr>
  </property>
</Properties>
</file>