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7"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7" w:lineRule="exact"/>
        <w:jc w:val="center"/>
        <w:textAlignment w:val="auto"/>
        <w:rPr>
          <w:rFonts w:hint="eastAsia" w:ascii="仿宋_GB2312" w:hAnsi="宋体" w:eastAsia="仿宋_GB2312" w:cs="宋体"/>
          <w:sz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_GB2312" w:hAnsi="宋体" w:eastAsia="仿宋_GB2312" w:cs="宋体"/>
          <w:sz w:val="32"/>
        </w:rPr>
        <w:t>号</w:t>
      </w:r>
    </w:p>
    <w:p w14:paraId="1133CB50">
      <w:pPr>
        <w:pStyle w:val="2"/>
      </w:pPr>
    </w:p>
    <w:p w14:paraId="30278E71">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天津亿达环卫设备有限公司</w:t>
      </w:r>
      <w:r>
        <w:rPr>
          <w:rFonts w:eastAsia="仿宋_GB2312"/>
          <w:sz w:val="32"/>
          <w:szCs w:val="32"/>
        </w:rPr>
        <w:t xml:space="preserve"> </w:t>
      </w:r>
    </w:p>
    <w:p w14:paraId="488452D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王森龙</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15022648221</w:t>
      </w:r>
    </w:p>
    <w:p w14:paraId="3C95676C">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天津市宝坻区朝霞街道状元城3号楼</w:t>
      </w:r>
      <w:r>
        <w:rPr>
          <w:rFonts w:eastAsia="仿宋_GB2312"/>
          <w:sz w:val="32"/>
          <w:szCs w:val="32"/>
        </w:rPr>
        <w:t xml:space="preserve"> </w:t>
      </w:r>
    </w:p>
    <w:p w14:paraId="18560C58">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被投诉人1</w:t>
      </w:r>
      <w:r>
        <w:rPr>
          <w:rFonts w:eastAsia="仿宋_GB2312"/>
          <w:b/>
          <w:bCs/>
          <w:sz w:val="32"/>
          <w:szCs w:val="32"/>
        </w:rPr>
        <w:t>：</w:t>
      </w:r>
      <w:r>
        <w:rPr>
          <w:rFonts w:hint="eastAsia" w:eastAsia="仿宋_GB2312"/>
          <w:b/>
          <w:bCs/>
          <w:sz w:val="32"/>
          <w:szCs w:val="32"/>
          <w:lang w:val="en-US" w:eastAsia="zh-CN"/>
        </w:rPr>
        <w:t>信丰县城市管理局</w:t>
      </w:r>
    </w:p>
    <w:p w14:paraId="30380B15">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夏学敏</w:t>
      </w:r>
    </w:p>
    <w:p w14:paraId="6E7D24D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13763995610</w:t>
      </w:r>
    </w:p>
    <w:p w14:paraId="45D04EC4">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址：赣州市信丰县阳明南路329号</w:t>
      </w:r>
    </w:p>
    <w:p w14:paraId="28AFA595">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2</w:t>
      </w:r>
      <w:r>
        <w:rPr>
          <w:rFonts w:eastAsia="仿宋_GB2312"/>
          <w:b/>
          <w:bCs/>
          <w:sz w:val="32"/>
          <w:szCs w:val="32"/>
        </w:rPr>
        <w:t>：</w:t>
      </w:r>
      <w:r>
        <w:rPr>
          <w:rFonts w:hint="eastAsia" w:eastAsia="仿宋_GB2312"/>
          <w:b/>
          <w:bCs/>
          <w:sz w:val="32"/>
          <w:szCs w:val="32"/>
          <w:lang w:val="en-US" w:eastAsia="zh-CN"/>
        </w:rPr>
        <w:t>江西日成工程项目管理有限公司</w:t>
      </w:r>
    </w:p>
    <w:p w14:paraId="62FA00AB">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李喜英</w:t>
      </w:r>
    </w:p>
    <w:p w14:paraId="41D25CEC">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15727769094</w:t>
      </w:r>
    </w:p>
    <w:p w14:paraId="5E715019">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地  址：赣州市信丰县迎宾大道中段城市便捷酒店九楼</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投诉人因不满意信丰县城市管理局于2025年4月9日作出的质疑答复，于2025年4月10日向我局提出投诉。我局依法予以受理，现已审查终结。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江西日成工程项目管理有限公司接受采购人信丰县城市管理局的委托，对</w:t>
      </w:r>
      <w:r>
        <w:rPr>
          <w:rFonts w:hint="eastAsia" w:eastAsia="仿宋_GB2312"/>
          <w:b/>
          <w:bCs/>
          <w:sz w:val="32"/>
          <w:szCs w:val="32"/>
          <w:lang w:val="en-US" w:eastAsia="zh-CN"/>
        </w:rPr>
        <w:t>信丰县生活垃圾收转运设施设备更新项目，项目编号：JXRC2025-XF-G002</w:t>
      </w:r>
      <w:r>
        <w:rPr>
          <w:rFonts w:hint="eastAsia" w:eastAsia="仿宋_GB2312"/>
          <w:sz w:val="32"/>
          <w:szCs w:val="32"/>
          <w:lang w:val="en-US" w:eastAsia="zh-CN"/>
        </w:rPr>
        <w:t>，进行公开招标采购。2025年3月9日，在江西省公共资源交易网发布电子化公开招标公告；2025年3月27日，在江西省公共资源交易网发布电子化公开招标变更公告；2025年4月9日，在江西省公共资源交易网发布项目暂停公告；2025年4月13日，在江西省公共资源交易网重新发布电子化公开招标公告；2025年4月18日，在江西省公共资源交易网发布招标变更公告；2025年3月29日，投诉人向采购人提出质疑；2025年4月9日，采购人就质疑事项作出答复；2025年4月10日，投诉人对质疑答复不满意，向我局进行投诉。目前，该项目尚未开标。</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w:t>
      </w:r>
    </w:p>
    <w:p w14:paraId="471E245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8T护栏清洗车、18T多功能抑尘车、12T洗扫车、7T洗扫车、18T清洗车、12T吸污车”，满足采购需求技术参数要求的车型数量不足三个厂家或品牌，存在严重倾向性、指向性和限制性。招标文件涉及“1.5T自卸式垃圾车、3.5T自卸式垃圾车、8T厨余垃圾收集车、8T护栏清洗车、18T多功能抑尘车、12T洗扫车、7T洗扫车、18T清洗车、12T吸污车”悬、轴距、接近角、离去角、后部防护离地高度、水罐总容量、整备质量等9项加分条件评审因素指向特定品牌，具有严重的指向性、倾向性。招标文件要求“完全响应第五章货物需求表及采购需求，（一）技术需求中所有实质性条款，任何一项不满足投标无效”过于严格，其他“8T护栏清洗车、18T多功能抑尘车、12T洗扫车、7T洗扫车、18T清洗车、12T吸污车”无法满足技术需求的车型将被排除在竞争之外，且仅有一家或两家能够完全满足技术需求，倾向于特定供应商或特定产品。深入剖析本项目采购货物，相关车辆类型招标参数指向徐工、中联品牌的车型，严重限制广大潜在供应商参与机会，损害公平性和竞争性。</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要求在投诉期间暂停采购活动，责令采购人修改招标文件不合理内容。</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605950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w:t>
      </w:r>
    </w:p>
    <w:p w14:paraId="48AB7678">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1、关于采购需求设置不足三个厂家或品牌，存在倾向性、指向性的问题。根据采购人、采购代理机构提供的投诉情况说明材料与佐证资料，“8T护栏清洗车、18T多功能抑尘车、12T洗扫车、7T洗扫车、18T清洗车、12T吸污车”等6款车型，均能够提供3个及以上符合采购需求参数设置的品牌产品。    </w:t>
      </w:r>
    </w:p>
    <w:p w14:paraId="7CE1F17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2、关于加分条件评审因素指向特定品牌，具有严重的指向性、倾向性的问题。经查看招标文件评审因素，“悬、轴距、接近角、离去角、后部防护离地高度、水罐总容量、整备质量”等9项加分条件设置已细化量化；根据采购人、采购代理机构提供的投诉情况说明材料与佐证资料，该9项加分因素设置与采购产品质量与使用需求相关，且具备不同品牌的产品完全符合或部分符合评审参数设置，不足以认定为指向特定品牌。</w:t>
      </w:r>
    </w:p>
    <w:p w14:paraId="56BD2CD8">
      <w:pPr>
        <w:keepNext w:val="0"/>
        <w:keepLines w:val="0"/>
        <w:pageBreakBefore w:val="0"/>
        <w:widowControl/>
        <w:suppressLineNumbers w:val="0"/>
        <w:kinsoku/>
        <w:wordWrap/>
        <w:overflowPunct/>
        <w:topLinePunct w:val="0"/>
        <w:autoSpaceDE/>
        <w:autoSpaceDN/>
        <w:bidi w:val="0"/>
        <w:adjustRightInd/>
        <w:snapToGrid/>
        <w:spacing w:line="607"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3、关于采购需求参数设置严格，仅有一家或两家满足需求，排斥其他车型的问题。经查看招标文件，“采购需求，产品明细及技术参数”为符合性参数，达不到符合性参数的产品即非采购人所需目标产品；且采购人投诉情况说明材料已提供3个及以上满足参数设置的品牌产品。</w:t>
      </w:r>
    </w:p>
    <w:p w14:paraId="2C0F6D38">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4、关于采购相关车辆类型的招标参数指向徐工、中联品牌车型的问题。投诉人未提供明确证据，也未指出某具体参数指向某特定品牌，投诉事项不明确。</w:t>
      </w:r>
    </w:p>
    <w:p w14:paraId="7C37DD4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综上所投诉，投诉人所述不具备事实依据。因此，投诉事项不成立。</w:t>
      </w:r>
    </w:p>
    <w:p w14:paraId="27B7D2B3">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7"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550175E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5120" w:firstLineChars="1600"/>
        <w:textAlignment w:val="auto"/>
        <w:outlineLvl w:val="0"/>
        <w:rPr>
          <w:rFonts w:hint="eastAsia" w:ascii="仿宋" w:hAnsi="仿宋" w:eastAsia="仿宋" w:cs="仿宋"/>
          <w:b w:val="0"/>
          <w:bCs w:val="0"/>
          <w:sz w:val="32"/>
          <w:szCs w:val="32"/>
          <w:lang w:val="en-US" w:eastAsia="zh-CN"/>
        </w:rPr>
      </w:pPr>
      <w:r>
        <w:rPr>
          <w:rFonts w:hint="eastAsia" w:eastAsia="仿宋_GB2312"/>
          <w:sz w:val="32"/>
          <w:szCs w:val="32"/>
          <w:lang w:val="en-US" w:eastAsia="zh-CN"/>
        </w:rPr>
        <w:t>2025年4月28日</w:t>
      </w:r>
    </w:p>
    <w:p w14:paraId="600BB798">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6793CFEB">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40188972">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77052AC4">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1A0A0B9A">
      <w:pPr>
        <w:rPr>
          <w:rFonts w:hint="eastAsia" w:ascii="仿宋" w:hAnsi="仿宋" w:eastAsia="仿宋" w:cs="仿宋"/>
          <w:b w:val="0"/>
          <w:bCs w:val="0"/>
          <w:sz w:val="32"/>
          <w:szCs w:val="32"/>
          <w:lang w:val="en-US" w:eastAsia="zh-CN"/>
        </w:rPr>
      </w:pPr>
    </w:p>
    <w:p w14:paraId="012C92F8">
      <w:pPr>
        <w:pStyle w:val="2"/>
        <w:spacing w:before="0" w:after="0" w:line="240" w:lineRule="auto"/>
        <w:rPr>
          <w:rFonts w:hint="eastAsia" w:ascii="仿宋" w:hAnsi="仿宋" w:eastAsia="仿宋" w:cs="仿宋"/>
          <w:b w:val="0"/>
          <w:bCs w:val="0"/>
          <w:sz w:val="32"/>
          <w:szCs w:val="32"/>
          <w:lang w:val="en-US" w:eastAsia="zh-CN"/>
        </w:rPr>
      </w:pPr>
    </w:p>
    <w:p w14:paraId="0B2FE864">
      <w:pPr>
        <w:pStyle w:val="2"/>
        <w:spacing w:before="0" w:after="0" w:line="240" w:lineRule="auto"/>
        <w:rPr>
          <w:rFonts w:hint="eastAsia" w:ascii="仿宋" w:hAnsi="仿宋" w:eastAsia="仿宋" w:cs="仿宋"/>
          <w:b w:val="0"/>
          <w:bCs w:val="0"/>
          <w:sz w:val="32"/>
          <w:szCs w:val="32"/>
          <w:lang w:val="en-US" w:eastAsia="zh-CN"/>
        </w:rPr>
      </w:pPr>
    </w:p>
    <w:p w14:paraId="70EFA0FD">
      <w:pPr>
        <w:pStyle w:val="2"/>
        <w:spacing w:before="0" w:after="0" w:line="240" w:lineRule="auto"/>
        <w:rPr>
          <w:rFonts w:hint="eastAsia" w:ascii="仿宋" w:hAnsi="仿宋" w:eastAsia="仿宋" w:cs="仿宋"/>
          <w:b w:val="0"/>
          <w:bCs w:val="0"/>
          <w:sz w:val="32"/>
          <w:szCs w:val="32"/>
          <w:lang w:val="en-US" w:eastAsia="zh-CN"/>
        </w:rPr>
      </w:pPr>
    </w:p>
    <w:p w14:paraId="4E5C79A8">
      <w:pPr>
        <w:pStyle w:val="2"/>
        <w:spacing w:before="0" w:after="0" w:line="240" w:lineRule="auto"/>
        <w:rPr>
          <w:rFonts w:hint="eastAsia" w:ascii="仿宋" w:hAnsi="仿宋" w:eastAsia="仿宋" w:cs="仿宋"/>
          <w:b w:val="0"/>
          <w:bCs w:val="0"/>
        </w:rPr>
      </w:pPr>
      <w:bookmarkStart w:id="0" w:name="_GoBack"/>
      <w:bookmarkEnd w:id="0"/>
      <w:r>
        <w:rPr>
          <w:rFonts w:hint="eastAsia" w:ascii="仿宋" w:hAnsi="仿宋" w:eastAsia="仿宋" w:cs="仿宋"/>
          <w:b w:val="0"/>
          <w:bCs w:val="0"/>
          <w:sz w:val="32"/>
          <w:szCs w:val="32"/>
          <w:lang w:val="en-US" w:eastAsia="zh-CN"/>
        </w:rPr>
        <w:t>（此页无正文）</w:t>
      </w:r>
    </w:p>
    <w:p w14:paraId="0362B894">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EF57743"/>
    <w:rsid w:val="0F704352"/>
    <w:rsid w:val="10E91F4A"/>
    <w:rsid w:val="115A5CBD"/>
    <w:rsid w:val="11E903EC"/>
    <w:rsid w:val="11F84DF3"/>
    <w:rsid w:val="12BF071A"/>
    <w:rsid w:val="149F4E79"/>
    <w:rsid w:val="15417F03"/>
    <w:rsid w:val="163C2D63"/>
    <w:rsid w:val="16C234BC"/>
    <w:rsid w:val="18C12F49"/>
    <w:rsid w:val="19C75262"/>
    <w:rsid w:val="1A604918"/>
    <w:rsid w:val="1AA53126"/>
    <w:rsid w:val="1B32070E"/>
    <w:rsid w:val="1BF07D09"/>
    <w:rsid w:val="1DF0665E"/>
    <w:rsid w:val="1E7D3362"/>
    <w:rsid w:val="1F8E612F"/>
    <w:rsid w:val="211A5ECC"/>
    <w:rsid w:val="2295527C"/>
    <w:rsid w:val="24997A50"/>
    <w:rsid w:val="28795998"/>
    <w:rsid w:val="294302C6"/>
    <w:rsid w:val="2B0F419D"/>
    <w:rsid w:val="2D6F57F1"/>
    <w:rsid w:val="2D8854DC"/>
    <w:rsid w:val="2F6609B5"/>
    <w:rsid w:val="31D97F9F"/>
    <w:rsid w:val="32C20E5F"/>
    <w:rsid w:val="330E785B"/>
    <w:rsid w:val="333C23CD"/>
    <w:rsid w:val="335334BF"/>
    <w:rsid w:val="34C17B48"/>
    <w:rsid w:val="35A31DAD"/>
    <w:rsid w:val="362D380D"/>
    <w:rsid w:val="364D069A"/>
    <w:rsid w:val="372B2D6B"/>
    <w:rsid w:val="37B02C8E"/>
    <w:rsid w:val="3A3F23D5"/>
    <w:rsid w:val="3B2A2D58"/>
    <w:rsid w:val="3C153A08"/>
    <w:rsid w:val="3E0E070F"/>
    <w:rsid w:val="3E5F5407"/>
    <w:rsid w:val="40C1670D"/>
    <w:rsid w:val="439327E4"/>
    <w:rsid w:val="43DE28CF"/>
    <w:rsid w:val="454C5C36"/>
    <w:rsid w:val="45A424F0"/>
    <w:rsid w:val="45B12D38"/>
    <w:rsid w:val="47DC0847"/>
    <w:rsid w:val="4A5770C2"/>
    <w:rsid w:val="4A5D5DCD"/>
    <w:rsid w:val="4C080E93"/>
    <w:rsid w:val="4CD64AED"/>
    <w:rsid w:val="4E6B74B7"/>
    <w:rsid w:val="50165DA8"/>
    <w:rsid w:val="52AA13D1"/>
    <w:rsid w:val="532F73B3"/>
    <w:rsid w:val="544D7D8B"/>
    <w:rsid w:val="55F3271B"/>
    <w:rsid w:val="55F3749F"/>
    <w:rsid w:val="569A3030"/>
    <w:rsid w:val="57EF1159"/>
    <w:rsid w:val="5801405A"/>
    <w:rsid w:val="58A34273"/>
    <w:rsid w:val="599916FA"/>
    <w:rsid w:val="5A4F5302"/>
    <w:rsid w:val="5AC16DDD"/>
    <w:rsid w:val="5C407059"/>
    <w:rsid w:val="5D2E4E3F"/>
    <w:rsid w:val="5E603F58"/>
    <w:rsid w:val="631405FB"/>
    <w:rsid w:val="65145113"/>
    <w:rsid w:val="66140709"/>
    <w:rsid w:val="687D290C"/>
    <w:rsid w:val="6AE41B1B"/>
    <w:rsid w:val="6B805FC7"/>
    <w:rsid w:val="6CDD268B"/>
    <w:rsid w:val="6D981C1F"/>
    <w:rsid w:val="6E2C087F"/>
    <w:rsid w:val="6F3516F0"/>
    <w:rsid w:val="7027296B"/>
    <w:rsid w:val="705931BC"/>
    <w:rsid w:val="70E1634E"/>
    <w:rsid w:val="71EE1590"/>
    <w:rsid w:val="733A6D4F"/>
    <w:rsid w:val="76BB22A3"/>
    <w:rsid w:val="77685BD2"/>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1861</Words>
  <Characters>2001</Characters>
  <Lines>0</Lines>
  <Paragraphs>0</Paragraphs>
  <TotalTime>0</TotalTime>
  <ScaleCrop>false</ScaleCrop>
  <LinksUpToDate>false</LinksUpToDate>
  <CharactersWithSpaces>2033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2025-04-29T02:58:00Z</cp:lastPrinted>
  <dcterms:modified xsi:type="dcterms:W3CDTF">2025-07-07T01:05:37Z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