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关于对“吉安市思源实验学校分校</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（文成学校）图书等设备等采购”</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方正小标宋简体" w:hAnsi="方正小标宋简体" w:eastAsia="方正小标宋简体" w:cs="方正小标宋简体"/>
          <w:b w:val="0"/>
          <w:bCs w:val="0"/>
          <w:sz w:val="44"/>
          <w:szCs w:val="44"/>
          <w:lang w:val="en-US" w:eastAsia="zh-CN"/>
        </w:rPr>
        <w:t>投诉处理结果公告</w:t>
      </w:r>
    </w:p>
    <w:p>
      <w:pPr>
        <w:keepNext w:val="0"/>
        <w:keepLines w:val="0"/>
        <w:pageBreakBefore w:val="0"/>
        <w:widowControl w:val="0"/>
        <w:kinsoku/>
        <w:wordWrap/>
        <w:overflowPunct/>
        <w:topLinePunct w:val="0"/>
        <w:autoSpaceDE/>
        <w:autoSpaceDN/>
        <w:bidi w:val="0"/>
        <w:adjustRightInd/>
        <w:snapToGrid/>
        <w:spacing w:line="560" w:lineRule="exact"/>
        <w:ind w:left="0" w:leftChars="0"/>
        <w:jc w:val="right"/>
        <w:textAlignment w:val="auto"/>
        <w:rPr>
          <w:rFonts w:hint="eastAsia" w:ascii="仿宋_GB2312" w:eastAsia="仿宋_GB2312" w:cs="方正仿宋简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right"/>
        <w:textAlignment w:val="auto"/>
        <w:rPr>
          <w:rFonts w:hint="eastAsia" w:ascii="仿宋_GB2312" w:eastAsia="仿宋_GB2312" w:cs="方正仿宋简体"/>
          <w:sz w:val="32"/>
          <w:szCs w:val="32"/>
          <w:highlight w:val="none"/>
        </w:rPr>
      </w:pPr>
      <w:r>
        <w:rPr>
          <w:rFonts w:hint="eastAsia" w:ascii="仿宋_GB2312" w:eastAsia="仿宋_GB2312" w:cs="方正仿宋简体"/>
          <w:sz w:val="32"/>
          <w:szCs w:val="32"/>
          <w:highlight w:val="none"/>
        </w:rPr>
        <w:t>吉区财购投诉</w:t>
      </w:r>
      <w:r>
        <w:rPr>
          <w:rFonts w:hint="eastAsia" w:ascii="仿宋_GB2312" w:hAnsi="宋体" w:eastAsia="仿宋_GB2312" w:cs="方正仿宋简体"/>
          <w:sz w:val="32"/>
          <w:szCs w:val="32"/>
          <w:highlight w:val="none"/>
        </w:rPr>
        <w:t>〔2023〕</w:t>
      </w:r>
      <w:r>
        <w:rPr>
          <w:rFonts w:hint="eastAsia" w:ascii="仿宋_GB2312" w:hAnsi="宋体" w:eastAsia="仿宋_GB2312" w:cs="方正仿宋简体"/>
          <w:sz w:val="32"/>
          <w:szCs w:val="32"/>
          <w:highlight w:val="none"/>
          <w:lang w:val="en-US" w:eastAsia="zh-CN"/>
        </w:rPr>
        <w:t>7</w:t>
      </w:r>
      <w:r>
        <w:rPr>
          <w:rFonts w:hint="eastAsia" w:ascii="仿宋_GB2312" w:eastAsia="仿宋_GB2312" w:cs="方正仿宋简体"/>
          <w:sz w:val="32"/>
          <w:szCs w:val="32"/>
          <w:highlight w:val="none"/>
        </w:rPr>
        <w:t>号</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一、项目编号：</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JXZG-2023-044</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二、项目名称</w:t>
      </w:r>
      <w:r>
        <w:rPr>
          <w:rFonts w:hint="eastAsia" w:ascii="仿宋_GB2312" w:hAnsi="仿宋_GB2312" w:eastAsia="仿宋_GB2312" w:cs="仿宋_GB2312"/>
          <w:b w:val="0"/>
          <w:bCs w:val="0"/>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吉安市思源实验学校分校（文成学校）图书等设备等采购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三、相关当事人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投诉人：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九江天书文化有限公司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江西省九江市瑞昌市顺发小区36号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被投诉人</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1</w:t>
      </w:r>
      <w:r>
        <w:rPr>
          <w:rFonts w:hint="eastAsia" w:ascii="仿宋_GB2312" w:hAnsi="仿宋_GB2312" w:eastAsia="仿宋_GB2312" w:cs="仿宋_GB2312"/>
          <w:b/>
          <w:bCs/>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江西省吉安市思源实验学校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地址：吉安市吉州区吉州大道68号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被投诉人</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2</w:t>
      </w:r>
      <w:r>
        <w:rPr>
          <w:rFonts w:hint="eastAsia" w:ascii="仿宋_GB2312" w:hAnsi="仿宋_GB2312" w:eastAsia="仿宋_GB2312" w:cs="仿宋_GB2312"/>
          <w:b/>
          <w:bCs/>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江西中赣工程管理有限公司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地址：江西省吉安市吉州区航盛大厦A座2608室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四、基本情况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投诉人对</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江西中赣工程管理有限公司</w:t>
      </w:r>
      <w:r>
        <w:rPr>
          <w:rFonts w:hint="eastAsia" w:ascii="仿宋_GB2312" w:hAnsi="仿宋_GB2312" w:eastAsia="仿宋_GB2312" w:cs="仿宋_GB2312"/>
          <w:i w:val="0"/>
          <w:iCs w:val="0"/>
          <w:caps w:val="0"/>
          <w:color w:val="000000"/>
          <w:spacing w:val="0"/>
          <w:sz w:val="32"/>
          <w:szCs w:val="32"/>
          <w:shd w:val="clear" w:fill="FFFFFF"/>
          <w:vertAlign w:val="baseline"/>
        </w:rPr>
        <w:t>代理的</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吉安市思源实验学校分校（文成学校）图书等设备等采购</w:t>
      </w:r>
      <w:r>
        <w:rPr>
          <w:rFonts w:hint="eastAsia" w:ascii="仿宋_GB2312" w:hAnsi="仿宋_GB2312" w:eastAsia="仿宋_GB2312" w:cs="仿宋_GB2312"/>
          <w:i w:val="0"/>
          <w:iCs w:val="0"/>
          <w:caps w:val="0"/>
          <w:color w:val="000000"/>
          <w:spacing w:val="0"/>
          <w:sz w:val="32"/>
          <w:szCs w:val="32"/>
          <w:shd w:val="clear" w:fill="FFFFFF"/>
          <w:vertAlign w:val="baseline"/>
        </w:rPr>
        <w:t>（项目编号：</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JXZG-2023-044</w:t>
      </w:r>
      <w:r>
        <w:rPr>
          <w:rFonts w:hint="eastAsia" w:ascii="仿宋_GB2312" w:hAnsi="仿宋_GB2312" w:eastAsia="仿宋_GB2312" w:cs="仿宋_GB2312"/>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招标文件</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vertAlign w:val="baseline"/>
          <w:lang w:eastAsia="zh-CN"/>
        </w:rPr>
        <w:t>有疑异</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的质疑答复不满意</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w:t>
      </w:r>
      <w:r>
        <w:rPr>
          <w:rFonts w:hint="eastAsia" w:ascii="仿宋_GB2312" w:hAnsi="仿宋_GB2312" w:eastAsia="仿宋_GB2312" w:cs="仿宋_GB2312"/>
          <w:i w:val="0"/>
          <w:iCs w:val="0"/>
          <w:caps w:val="0"/>
          <w:color w:val="000000"/>
          <w:spacing w:val="0"/>
          <w:sz w:val="32"/>
          <w:szCs w:val="32"/>
          <w:shd w:val="clear" w:fill="FFFFFF"/>
          <w:vertAlign w:val="baseline"/>
        </w:rPr>
        <w:t>我局于2023年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8</w:t>
      </w:r>
      <w:r>
        <w:rPr>
          <w:rFonts w:hint="eastAsia" w:ascii="仿宋_GB2312" w:hAnsi="仿宋_GB2312" w:eastAsia="仿宋_GB2312" w:cs="仿宋_GB2312"/>
          <w:i w:val="0"/>
          <w:iCs w:val="0"/>
          <w:caps w:val="0"/>
          <w:color w:val="000000"/>
          <w:spacing w:val="0"/>
          <w:sz w:val="32"/>
          <w:szCs w:val="32"/>
          <w:shd w:val="clear" w:fill="FFFFFF"/>
          <w:vertAlign w:val="baseline"/>
        </w:rPr>
        <w:t>月</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31</w:t>
      </w:r>
      <w:r>
        <w:rPr>
          <w:rFonts w:hint="eastAsia" w:ascii="仿宋_GB2312" w:hAnsi="仿宋_GB2312" w:eastAsia="仿宋_GB2312" w:cs="仿宋_GB2312"/>
          <w:i w:val="0"/>
          <w:iCs w:val="0"/>
          <w:caps w:val="0"/>
          <w:color w:val="000000"/>
          <w:spacing w:val="0"/>
          <w:sz w:val="32"/>
          <w:szCs w:val="32"/>
          <w:shd w:val="clear" w:fill="FFFFFF"/>
          <w:vertAlign w:val="baseline"/>
        </w:rPr>
        <w:t>日</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收到</w:t>
      </w:r>
      <w:r>
        <w:rPr>
          <w:rFonts w:hint="eastAsia" w:ascii="仿宋_GB2312" w:hAnsi="仿宋_GB2312" w:eastAsia="仿宋_GB2312" w:cs="仿宋_GB2312"/>
          <w:i w:val="0"/>
          <w:iCs w:val="0"/>
          <w:caps w:val="0"/>
          <w:color w:val="000000"/>
          <w:spacing w:val="0"/>
          <w:sz w:val="32"/>
          <w:szCs w:val="32"/>
          <w:shd w:val="clear" w:fill="FFFFFF"/>
          <w:vertAlign w:val="baseline"/>
        </w:rPr>
        <w:t>投诉。经依法审查，现本投诉案已审查终结。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2"/>
          <w:sz w:val="32"/>
          <w:szCs w:val="32"/>
          <w:u w:val="none"/>
          <w:shd w:val="clear" w:fill="FFFFFF"/>
          <w:vertAlign w:val="baseline"/>
          <w:lang w:val="en-US" w:eastAsia="zh-CN" w:bidi="ar-SA"/>
        </w:rPr>
        <w:t>投诉人称：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投诉事项一：</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在该招标文件，第三章 评标办法 二、评分标准的技术要求部分(40分)的第一点 技术符合性评审:所投产品全部满足招标文件第四部分“采购需求书”中采购清单及技术要求得24分;若有一项不满足或负偏离的，作无效投标处理。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评审依据：投标文件中提供的技术响应/偏离表。</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法律依据:</w:t>
      </w:r>
      <w:r>
        <w:rPr>
          <w:rFonts w:hint="eastAsia" w:ascii="仿宋_GB2312" w:hAnsi="仿宋_GB2312" w:eastAsia="仿宋_GB2312" w:cs="仿宋_GB2312"/>
          <w:b w:val="0"/>
          <w:bCs w:val="0"/>
          <w:color w:val="000000"/>
          <w:sz w:val="32"/>
          <w:szCs w:val="32"/>
          <w:lang w:val="en-US" w:eastAsia="zh-CN"/>
        </w:rPr>
        <w:t>《政府采购货物和服务招标投标管理办法》第二十条第二款:对于不允许偏离的实质性要求和条件，采购人或者采购代理机构应当在招标文件中规定，并以醒目的方式标明。</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投诉事项二：</w:t>
      </w:r>
      <w:r>
        <w:rPr>
          <w:rFonts w:hint="eastAsia" w:ascii="仿宋_GB2312" w:hAnsi="仿宋_GB2312" w:eastAsia="仿宋_GB2312" w:cs="仿宋_GB2312"/>
          <w:b w:val="0"/>
          <w:bCs w:val="0"/>
          <w:color w:val="000000"/>
          <w:sz w:val="32"/>
          <w:szCs w:val="32"/>
          <w:lang w:val="en-US" w:eastAsia="zh-CN"/>
        </w:rPr>
        <w:t>在该招标文件，第三章 评标办法 二、评分标准的技术要求部分(40分)的第二点 产品质量保障的第一条 一、投标人所投的自助借还书机(含软件):</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0"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1、借书还书的过程中支持摄像头抓拍，读者确认借书或还书时进行拍摄，拍摄响应时间不高于1秒和支持在借书还书程序首页具有直接刷新界面功能，读者可以一键重新运行程出序的加2分;</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0"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2、通过典型能源消耗检测并测试等级判定为1级和LED点低于2个的加2分;</w:t>
      </w:r>
    </w:p>
    <w:p>
      <w:pPr>
        <w:pStyle w:val="4"/>
        <w:keepNext w:val="0"/>
        <w:keepLines w:val="0"/>
        <w:pageBreakBefore w:val="0"/>
        <w:kinsoku/>
        <w:wordWrap/>
        <w:overflowPunct/>
        <w:topLinePunct w:val="0"/>
        <w:autoSpaceDE/>
        <w:autoSpaceDN/>
        <w:bidi w:val="0"/>
        <w:adjustRightInd/>
        <w:spacing w:after="0" w:afterLines="0" w:line="560" w:lineRule="exact"/>
        <w:ind w:left="0" w:leftChars="0" w:firstLine="640"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3、支持自助服务终端程序使用Web技术呈现前端界面，可实现集中部署更新自助借还设备的加2分。评审依据:提供国家认可的第三方检测机构出具的带有CMA标识的有效检验报告佐证。</w:t>
      </w:r>
    </w:p>
    <w:p>
      <w:pPr>
        <w:pStyle w:val="8"/>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法律依据1:</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《中华人民共和国财政部 第87号令》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pStyle w:val="8"/>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法律依据 2:</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根据《江西省政府采购管理实施办法(试行)》第四十五条 样品、现场演示、检测报告等不得作为评分因素,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采购活动结束后应对所有样品进行封存,未中标(成交)供应商的样品应在结果公示期7个工作日后退还,中标(成交)供应商的样品应在验收后退还。采购活动结束后,不得采用通过对样品进行检测、对供应商进行考察等方式改变评审结果。</w:t>
      </w:r>
    </w:p>
    <w:p>
      <w:pPr>
        <w:pStyle w:val="8"/>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法律依据 3:</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中华人民共和国政府采购法实施条例》第二十条:采购人或者采购代理机构有下列情形之一的，属于以不合理的条件对供应商实行差别待遇或者歧视待遇:(三)设定的资格、技术、商务条件与采购项目的具体特点和实际需要不相适应或者与合同履行无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投诉事项 3:</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在该招标文件，第三章 评标办法 二、评分标准的技术要求部分(40分)的第二点 产品质量保障的第二条 二、投标人所投的一体化馆员工作站(含软件):二投标人所投的一体化馆员工作站(含软件):</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通过典型能源消耗检测并测试等级判定为1级和整机无障碍时间不低于5000 小时加2.5分;</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可在馆员工作站软件上设置自已区域图书馆大屏展示的数据内容和图片，还可以发多条通知在大数据平台上进行滚、动加2.5分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评审依据:提供国家认可的第三方检测机构出具的带有CMA标识的有效检验报告佐证。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法律依据 1:</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《中华人民共和国财政部 第87号令》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法律依据 2:</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根据《江西省政府采购管理实施办法(试行)》第四十五条样品、现场演示、检测报告等不得作为评分因素,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采购活动结束后应对所有样品进行封存,未中标(成交)供应商的样品应在结果公示期7个工作日后退还,中标(成交)供应商的样品应在验收后退还。采购活动结束后,不得采用通过对样品进行检测、对供应商进行考察等方式改变评审结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法律依据 3:</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中华人民共和国政府采购法实施条例》第二十条:采购人或者采购代理机构有下列情形之一的，属于以不合理的条件对供应商实行差别待遇或者歧视待遇:(三)设定的资格、技术、商务条件与采购项目的具体特点和实际需要不相适应或者与合同履行无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投诉事项 4:</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在该招标文件，第三章 评标办法 二、评分标准的技术要求部分(40分)的第二点 产品质量保障的第三条 三、投标人所投的微型图书馆(含软件):三、投标人所投的微型图书馆(含软件) 须须通过典型能源消耗检测并测试等级判定为1级和整机无障碍时间不低于30000小时的加 3分。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评审依据:提供国家认可的第三方检测机构出具的带有CMA标识的有效检验报告佐证。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法律依据 1:</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《中华人民共和国财政部 第87号令》第十七条 采购人、采购代理机构不得将投标人的注册资本、资产总额、营业收入、从业人员、利润、纳税额等规模条件作为咨格要求或者评审因素，也不得通过将除进口货物以外的生产厂家授权、承诺、证明、背书等作为资格要求，对投标人实行差别待遇或者歧视待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法律依据 2:</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根据《江西省政府采购管理实施办法(试行)》第四十五条 样品、现场演示、检测报告等不得作为评分因素,采购文件如需提供样品、现场演示、检测报告等对技术参数进行佐证的 ,应充分考虑供应商样品、现场演示、检测报告等的制作、运输成本以及评审场地限制等因素。样品、现场演示、检测报告等应当要求所有供应商提供,并在评审过程中对所有样品、现场演示、检测报告进行查验。采购活动结束后应对所有样品进行封存,未中标(成交)供应商的样品应在结果公示期7个工作日后退还,中标(成交)供应商的样品应在验收后退还。采购活动结束后,不 得采用通过对样品进行检测、对供应商进行考察等方式改变评审结果。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法律依据 3:</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《中华人民共和国政府采购法实施条例》第二十条:采购人或者采购代理机构有下列情形之一的，属于以不合理的条件对供应商实行差别待遇或者歧视待遇:(三) 设定的资格、技术、商务条件与采购项目的具体特点和实际需要不相适应或者与合同履行无关。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被投诉人1称：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投诉事项一：</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我单位质疑答疑及采购需求已经请专家论证，投诉不成立。</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二：</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我单位质疑答疑及采购需求已经请专家论证。且此次加分项优于采购需求，和采购需求相关，此投诉不成立。</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三：</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我单位质疑答疑及采购需求已经请专家论证。且此次加分项优于采购需求，和采购需求相关，此投诉不成立。</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四：</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我单位质疑答疑及采购需求已经请专家论证。且此次加分项优于采购需求，和采购需求相关，此投诉不成立。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被投诉人2称：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投诉事项一：</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我司质疑答复函及采购需求已经请专家论证，投诉不成立。</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二：</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我司质疑答复函及采购需求已经请专家论证。且此次加分项优于采购需求，和采购需求相关，此投诉不成立。</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三：</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我司质疑答复函及采购需求已经请专家论证。且此次加分项优于采购需求，和采购需求相关，此投诉不成立。</w:t>
      </w:r>
    </w:p>
    <w:p>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四：</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我司质疑答复函及采购需求已经请专家论证。且此次加分项优于采购需求，和采购需求相关，此投诉不成立。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五、处理依据及结果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t>2023年9月2日</w:t>
      </w:r>
      <w:r>
        <w:rPr>
          <w:rFonts w:hint="eastAsia" w:ascii="仿宋_GB2312" w:hAnsi="仿宋_GB2312" w:eastAsia="仿宋_GB2312" w:cs="仿宋_GB2312"/>
          <w:i w:val="0"/>
          <w:iCs w:val="0"/>
          <w:caps w:val="0"/>
          <w:color w:val="000000"/>
          <w:spacing w:val="0"/>
          <w:kern w:val="0"/>
          <w:sz w:val="32"/>
          <w:szCs w:val="32"/>
          <w:highlight w:val="none"/>
          <w:shd w:val="clear" w:fill="FFFFFF"/>
          <w:vertAlign w:val="baseline"/>
          <w:lang w:val="en-US" w:eastAsia="zh-CN" w:bidi="ar"/>
        </w:rPr>
        <w:t>，本机关组</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织行业专家组对投诉涉及的内容及资料共同进行了调查核实，调查组意见如下：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投诉事项一：</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按照《政府采购货物和服务招标投标管理办法》（财政部令第87号）第二十条要求，对于不允许偏离的实质性要求和条件，在本项目招标文件中已进行了规定并以黑体文字描述的方式标注了“上述技术规格要求为基本要求，投标人可提供满足或优于上述技术规格要求的产品参与本项目投标”。因此，该投诉事项与招标文件事实不符，应认定为不成立。</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投诉事项二：</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1.投诉事项并不是采购文件中设定的资格、技术、商务条件，而是采购文件中的评审因素，且该评审因素与采购需求相对应，与投标人所提供货物质量直接相关，符合《政府采购货物和服务招标投标管理办法》（财政部令第87号）第五十五条“评审因素的设定应当与投标人所提供货物服务的质量相关，包括投标报价、技术或者服务水平、履约能力、售后服务等”的规定。投诉的评审因素不属于《政府采购货物和服务招标投标管理办法》（财政部令第87号）第十七条规定的“投标人”的注册资本、资产总额、营业收入、从业人员、利润、纳税额等规模条件，更不属于将除进口货物以外的生产厂家授权、承诺、证明、背书等的“资格要求”。</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2.《江西省政府采购管理实施办法((试行)》第四十五条规定：“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根据该规定，如需要采购文件是可以要求所有供应商提供检测报告对技术参数进行佐证，并在评审过程中对所有检测报告进行查验。</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3.《江西省政府采购管理实施办法((试行)》第三十九条对“评审因素”的佐证要求有明确规定：“采用综合评分法的，采购人应当合理设置技术、商务以及价格评审因素的权值，权值设置应当准确反映采购需求，并要求提供佐证材料。”该规定明确了对技术、商务以及价格评审因素应“要求提供佐证材料”。</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本项目评审依据要求提供检测报告只是作为佐证材料，并没有将检测报告作为评分因素。投诉事项的评分因素为“投标人所投的自助借还书机(含软件)：1、借书还书的过程中支持摄像头抓拍，读者确认借书或还书时进行拍摄，拍摄响应时间不高于 1 秒和支持在借书还书程序首页具有直接刷新界面功能，读者可以一键重新运行程序的加 2 分； 2、通过典型能源消耗检测并测试等级判定为 1 级和 LED 坏点低于 2 个的加 2 分；3、支持自助服务终端程序使用 Web 技术呈现前端界面，可实现集中部署更新自助借还设备的加2 分”。采购文件要求供应商提供检测报告作为评审依据对技术参数进行佐证，符合《江西省政府采购管理实施办法((试行)》第第三十九条规定。</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因此，投诉的评审因素不属于《中华人民共和国政府采购法实施条例》第二十条规定“设定的资格、技术、商务条件与采购项目的具体特点和实际需要不相适应或者与合同履行无关”的以不合理的条件对供应商实行差别待遇或者歧视待遇的情形。</w:t>
      </w:r>
    </w:p>
    <w:p>
      <w:pPr>
        <w:pStyle w:val="8"/>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综合上述，投诉的评审因素设置符合相关法规要求，也没有违反政府采购法律法规规定，该投诉事项应认定为不成立。</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三：</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1.投诉事项并不是采购文件中设定的资格、技术、商务条件，而是采购文件中的评审因素，且该评审因素与采购需求相对应，与投标人所提供货物质量直接相关，符合《政府采购货物和服务招标投标管理办法》（财政部令第87号）第五十五条“评审因素的设定应当与投标人所提供货物服务的质量相关，包括投标报价、技术或者服务水平、履约能力、售后服务等”的规定。投诉的评审因素不属于《政府采购货物和服务招标投标管理办法》（财政部令第87号）第十七条规定的“投标人”的注册资本、资产总额、营业收入、从业人员、利润、纳税额等规模条件，更不属于将除进口货物以外的生产厂家授权、承诺、证明、背书等的“资格要求”。</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2.《江西省政府采购管理实施办法((试行)》第四十五条规定：“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根据该规定，如需要采购文件是可以要求所有供应商提供检测报告对技术参数进行佐证，并在评审过程中对所有检测报告进行查验。</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3.《江西省政府采购管理实施办法((试行)》第三十九条对“评审因素”的佐证要求有明确规定：“采用综合评分法的，采购人应当合理设置技术、商务以及价格评审因素的权值，权值设置应当准确反映采购需求，并要求提供佐证材料。”该规定明确了对技术、商务以及价格评审因素应“要求提供佐证材料”。</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本项目评审依据要求提供检测报告只是作为佐证材料，并没有将检测报告作为评分因素。投诉事项的评分因素为“投标人所投的一体化馆员工作站（含软件）：1、通过典型能源消耗检测并测试等级判定为 1 级和整机无障碍时间不低于 5000 小时加 2.5 分；2、可在馆员工作站软件上设置自己区域图书馆大屏展示的数据内容和图片，还可以发多条通知在大数据平台上进行滚动加 2.5 分”。采购文件要求供应商提供检测报告作为评审依据对技术参数进行佐证，符合《江西省政府采购管理实施办法((试行)》第三十九条规定。</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因此，投诉的评审因素不属于《中华人民共和国政府采购法实施条例》第二十条规定“设定的资格、技术、商务条件与采购项目的具体特点和实际需要不相适应或者与合同履行无关”的以不合理的条件对供应商实行差别待遇或者歧视待遇的情形。</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综合上述，投诉的评审因素设置符合相关法规要求，也没有违反政府采购法律法规规定，该投诉事项应认定为不成立。</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四：</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1.投诉事项并不是采购文件中设定的资格、技术、商务条件，而是采购文件中的评审因素，且该评审因素与采购需求相对应，与投标人所提供货物质量直接相关，符合《政府采购货物和服务招标投标管理办法》（财政部令第87号）第五十五条“评审因素的设定应当与投标人所提供货物服务的质量相关，包括投标报价、技术或者服务水平、履约能力、售后服务等”的规定。投诉的评审因素不属于《政府采购货物和服务招标投标管理办法》（财政部令第87号）第十七条规定的“投标人”的注册资本、资产总额、营业收入、从业人员、利润、纳税额等规模条件，更不属于将除进口货物以外的生产厂家授权、承诺、证明、背书等的“资格要求”。</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2.《江西省政府采购管理实施办法((试行)》第四十五条规定：“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根据该规定，如需要采购文件是可以要求所有供应商提供检测报告对技术参数进行佐证，并在评审过程中对所有检测报告进行查验。</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3.《江西省政府采购管理实施办法((试行)》第三十九条对“评审因素”的佐证要求有明确规定：“采用综合评分法的，采购人应当合理设置技术、商务以及价格评审因素的权值，权值设置应当准确反映采购需求，并要求提供佐证材料。”该规定明确了对技术、商务以及价格评审因素应“要求提供佐证材料”。</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本项目评审依据要求提供检测报告只是作为佐证材料，并没有将检测报告作为评分因素。投诉事项的评分因素为“投标人所投的微型图书馆（含软件）须须通过典型能源消耗检测并测试等级判定为 1 级和整机无障碍时间不低于30000小时的加3分”。采购文件要求供应商提供检测报告作为评审依据对技术参数进行佐证，符合《江西省政府采购管理实施办法((试行)》第三十九条规定。</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因此，投诉的评审因素不属于《中华人民共和国政府采购法实施条例》第二十条规定“设定的资格、技术、商务条件与采购项目的具体特点和实际需要不相适应或者与合同履行无关”的以不合理的条件对供应商实行差别待遇或者歧视待遇的情形。</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综合上述，投诉的评审因素设置符合相关法规要求，也没有违反政府采购法律法规规定，该投诉事项应认定为不成立。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基于专家组以上意见及我局调查结果，根据《政府采购质疑和投诉办法》（财政部令第94号）第二十九条“ 投诉处理过程中，有下列情形之一的，财政部门应当驳回投诉....(二)投诉事项缺乏事实依据，投诉事项不成立”之规定，本机关作出如下处理决定:</w:t>
      </w:r>
    </w:p>
    <w:p>
      <w:pPr>
        <w:pStyle w:val="8"/>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投诉事项一、二、三、四，投诉事项缺乏事实依据，证据不充分，投诉事项不成立，予以驳回。</w:t>
      </w:r>
    </w:p>
    <w:p>
      <w:pPr>
        <w:keepNext w:val="0"/>
        <w:keepLines w:val="0"/>
        <w:pageBreakBefore w:val="0"/>
        <w:kinsoku/>
        <w:wordWrap/>
        <w:overflowPunct/>
        <w:topLinePunct w:val="0"/>
        <w:bidi w:val="0"/>
        <w:adjustRightInd/>
        <w:spacing w:line="560" w:lineRule="exact"/>
        <w:ind w:left="0" w:leftChars="0" w:firstLine="643" w:firstLineChars="200"/>
        <w:jc w:val="both"/>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六、权利告知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highlight w:val="none"/>
          <w:shd w:val="clear" w:fill="FFFFFF"/>
          <w:vertAlign w:val="baseline"/>
        </w:rPr>
      </w:pPr>
      <w:r>
        <w:rPr>
          <w:rFonts w:hint="eastAsia" w:ascii="仿宋_GB2312" w:hAnsi="仿宋_GB2312" w:eastAsia="仿宋_GB2312" w:cs="仿宋_GB2312"/>
          <w:i w:val="0"/>
          <w:iCs w:val="0"/>
          <w:caps w:val="0"/>
          <w:color w:val="000000"/>
          <w:spacing w:val="0"/>
          <w:sz w:val="32"/>
          <w:szCs w:val="32"/>
          <w:shd w:val="clear" w:fill="FFFFFF"/>
          <w:vertAlign w:val="baseline"/>
        </w:rPr>
        <w:t>投诉人如对上述处理决定不服，可在收到本决定书起60日内申请行政复议或6个月内提起行政诉讼。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highlight w:val="none"/>
          <w:shd w:val="clear" w:fill="FFFFFF"/>
          <w:vertAlign w:val="baseline"/>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3779" w:firstLineChars="1181"/>
        <w:jc w:val="both"/>
        <w:textAlignment w:val="baseline"/>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vertAlign w:val="baseline"/>
        </w:rPr>
        <w:t>吉安市吉州区财政局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198" w:firstLineChars="1312"/>
        <w:jc w:val="both"/>
        <w:textAlignment w:val="baseline"/>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vertAlign w:val="baseline"/>
        </w:rPr>
        <w:t>2023年</w:t>
      </w:r>
      <w:r>
        <w:rPr>
          <w:rFonts w:hint="eastAsia" w:ascii="仿宋_GB2312" w:hAnsi="仿宋_GB2312" w:eastAsia="仿宋_GB2312" w:cs="仿宋_GB2312"/>
          <w:i w:val="0"/>
          <w:iCs w:val="0"/>
          <w:caps w:val="0"/>
          <w:color w:val="000000"/>
          <w:spacing w:val="0"/>
          <w:sz w:val="32"/>
          <w:szCs w:val="32"/>
          <w:highlight w:val="none"/>
          <w:shd w:val="clear" w:fill="FFFFFF"/>
          <w:vertAlign w:val="baseline"/>
          <w:lang w:val="en-US" w:eastAsia="zh-CN"/>
        </w:rPr>
        <w:t>9</w:t>
      </w:r>
      <w:r>
        <w:rPr>
          <w:rFonts w:hint="eastAsia" w:ascii="仿宋_GB2312" w:hAnsi="仿宋_GB2312" w:eastAsia="仿宋_GB2312" w:cs="仿宋_GB2312"/>
          <w:i w:val="0"/>
          <w:iCs w:val="0"/>
          <w:caps w:val="0"/>
          <w:color w:val="000000"/>
          <w:spacing w:val="0"/>
          <w:sz w:val="32"/>
          <w:szCs w:val="32"/>
          <w:highlight w:val="none"/>
          <w:shd w:val="clear" w:fill="FFFFFF"/>
          <w:vertAlign w:val="baseline"/>
        </w:rPr>
        <w:t>月</w:t>
      </w:r>
      <w:r>
        <w:rPr>
          <w:rFonts w:hint="eastAsia" w:ascii="仿宋_GB2312" w:hAnsi="仿宋_GB2312" w:eastAsia="仿宋_GB2312" w:cs="仿宋_GB2312"/>
          <w:i w:val="0"/>
          <w:iCs w:val="0"/>
          <w:caps w:val="0"/>
          <w:color w:val="000000"/>
          <w:spacing w:val="0"/>
          <w:sz w:val="32"/>
          <w:szCs w:val="32"/>
          <w:highlight w:val="none"/>
          <w:shd w:val="clear" w:fill="FFFFFF"/>
          <w:vertAlign w:val="baseline"/>
          <w:lang w:val="en-US" w:eastAsia="zh-CN"/>
        </w:rPr>
        <w:t>4</w:t>
      </w:r>
      <w:r>
        <w:rPr>
          <w:rFonts w:hint="eastAsia" w:ascii="仿宋_GB2312" w:hAnsi="仿宋_GB2312" w:eastAsia="仿宋_GB2312" w:cs="仿宋_GB2312"/>
          <w:i w:val="0"/>
          <w:iCs w:val="0"/>
          <w:caps w:val="0"/>
          <w:color w:val="000000"/>
          <w:spacing w:val="0"/>
          <w:sz w:val="32"/>
          <w:szCs w:val="32"/>
          <w:highlight w:val="none"/>
          <w:shd w:val="clear" w:fill="FFFFFF"/>
          <w:vertAlign w:val="baseline"/>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C5E2A"/>
    <w:multiLevelType w:val="singleLevel"/>
    <w:tmpl w:val="DFCC5E2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7BBA0833"/>
    <w:rsid w:val="00F431B9"/>
    <w:rsid w:val="010827C0"/>
    <w:rsid w:val="014C4DA3"/>
    <w:rsid w:val="01507D6F"/>
    <w:rsid w:val="01F939F7"/>
    <w:rsid w:val="024D6F7E"/>
    <w:rsid w:val="05EC4069"/>
    <w:rsid w:val="07F14353"/>
    <w:rsid w:val="090917CB"/>
    <w:rsid w:val="09523172"/>
    <w:rsid w:val="0AAA386B"/>
    <w:rsid w:val="0C0F57E5"/>
    <w:rsid w:val="0E7E20E5"/>
    <w:rsid w:val="0EB92871"/>
    <w:rsid w:val="11021A8D"/>
    <w:rsid w:val="12695089"/>
    <w:rsid w:val="135911C4"/>
    <w:rsid w:val="14195E2D"/>
    <w:rsid w:val="152E6D93"/>
    <w:rsid w:val="168221DC"/>
    <w:rsid w:val="173C4B1A"/>
    <w:rsid w:val="1B4072CF"/>
    <w:rsid w:val="1B882A24"/>
    <w:rsid w:val="1EF67CA4"/>
    <w:rsid w:val="1FE048F4"/>
    <w:rsid w:val="200C13BD"/>
    <w:rsid w:val="24694035"/>
    <w:rsid w:val="24A51F50"/>
    <w:rsid w:val="24EF0D2A"/>
    <w:rsid w:val="25A74EBD"/>
    <w:rsid w:val="2604539D"/>
    <w:rsid w:val="26691D5B"/>
    <w:rsid w:val="29C05E6C"/>
    <w:rsid w:val="29EE6148"/>
    <w:rsid w:val="2A0E1E2F"/>
    <w:rsid w:val="2BFA291E"/>
    <w:rsid w:val="2CA945A8"/>
    <w:rsid w:val="2F970157"/>
    <w:rsid w:val="311816AC"/>
    <w:rsid w:val="32EC04BF"/>
    <w:rsid w:val="33BC6028"/>
    <w:rsid w:val="34266DEB"/>
    <w:rsid w:val="356647C5"/>
    <w:rsid w:val="36A77DAA"/>
    <w:rsid w:val="37E312B6"/>
    <w:rsid w:val="38A4138A"/>
    <w:rsid w:val="3CC441C6"/>
    <w:rsid w:val="3ECC30C9"/>
    <w:rsid w:val="3F270A20"/>
    <w:rsid w:val="3F4F5483"/>
    <w:rsid w:val="40534AFF"/>
    <w:rsid w:val="420B38E3"/>
    <w:rsid w:val="43690367"/>
    <w:rsid w:val="44531571"/>
    <w:rsid w:val="47E55A41"/>
    <w:rsid w:val="4AEB0739"/>
    <w:rsid w:val="4C152E18"/>
    <w:rsid w:val="4C1B1B63"/>
    <w:rsid w:val="4C352C68"/>
    <w:rsid w:val="4CB57795"/>
    <w:rsid w:val="4DF5709E"/>
    <w:rsid w:val="50E579F5"/>
    <w:rsid w:val="51E03DB4"/>
    <w:rsid w:val="556D2C43"/>
    <w:rsid w:val="56F00EA2"/>
    <w:rsid w:val="58496ABB"/>
    <w:rsid w:val="589B063C"/>
    <w:rsid w:val="591A3031"/>
    <w:rsid w:val="5A712320"/>
    <w:rsid w:val="5CA93FCD"/>
    <w:rsid w:val="5D213B63"/>
    <w:rsid w:val="5E0F58FA"/>
    <w:rsid w:val="5F426012"/>
    <w:rsid w:val="60E75282"/>
    <w:rsid w:val="624055A7"/>
    <w:rsid w:val="633A3BD0"/>
    <w:rsid w:val="63E9433B"/>
    <w:rsid w:val="67F83B43"/>
    <w:rsid w:val="6BFE477B"/>
    <w:rsid w:val="6C7F08A6"/>
    <w:rsid w:val="6DA93E2C"/>
    <w:rsid w:val="6EDB5184"/>
    <w:rsid w:val="700F1F41"/>
    <w:rsid w:val="713F0604"/>
    <w:rsid w:val="71947355"/>
    <w:rsid w:val="72B868C0"/>
    <w:rsid w:val="75BE226A"/>
    <w:rsid w:val="781146B9"/>
    <w:rsid w:val="797F5A41"/>
    <w:rsid w:val="7984574E"/>
    <w:rsid w:val="79EB0A34"/>
    <w:rsid w:val="79EF28AA"/>
    <w:rsid w:val="7ACA3634"/>
    <w:rsid w:val="7B9B1FB8"/>
    <w:rsid w:val="7BBA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Body Text"/>
    <w:basedOn w:val="1"/>
    <w:next w:val="1"/>
    <w:qFormat/>
    <w:uiPriority w:val="0"/>
    <w:pPr>
      <w:spacing w:after="120" w:afterLines="0"/>
    </w:pPr>
  </w:style>
  <w:style w:type="paragraph" w:styleId="5">
    <w:name w:val="Body Text Indent"/>
    <w:basedOn w:val="1"/>
    <w:next w:val="6"/>
    <w:qFormat/>
    <w:uiPriority w:val="0"/>
    <w:pPr>
      <w:ind w:firstLine="420" w:firstLineChars="200"/>
    </w:pPr>
  </w:style>
  <w:style w:type="paragraph" w:styleId="6">
    <w:name w:val="envelope return"/>
    <w:basedOn w:val="1"/>
    <w:qFormat/>
    <w:uiPriority w:val="0"/>
    <w:pPr>
      <w:snapToGrid w:val="0"/>
    </w:pPr>
    <w:rPr>
      <w:rFonts w:ascii="Arial" w:hAnsi="Arial"/>
    </w:rPr>
  </w:style>
  <w:style w:type="paragraph" w:styleId="7">
    <w:name w:val="Plain Text"/>
    <w:basedOn w:val="1"/>
    <w:next w:val="1"/>
    <w:qFormat/>
    <w:uiPriority w:val="0"/>
    <w:rPr>
      <w:rFonts w:ascii="宋体" w:hAnsi="Courier New"/>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qFormat/>
    <w:uiPriority w:val="0"/>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2049</Words>
  <Characters>2130</Characters>
  <Lines>0</Lines>
  <Paragraphs>0</Paragraphs>
  <TotalTime>14</TotalTime>
  <ScaleCrop>false</ScaleCrop>
  <LinksUpToDate>false</LinksUpToDate>
  <CharactersWithSpaces>2149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2023-06-12T00:27:00Z</dcterms:created>
  <dc:creator>彬</dc:creator>
  <cp:lastModifiedBy>欧阳君慧</cp:lastModifiedBy>
  <cp:lastPrinted>2023-08-01T07:39:00Z</cp:lastPrinted>
  <dcterms:modified xsi:type="dcterms:W3CDTF">2023-09-05T03:34:50Z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C20360630D9A4110AA275A658A0F0B41_13</vt:lpwstr>
  </property>
</Properties>
</file>