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ind w:firstLine="2520" w:firstLineChars="9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永财购诉决〔2023〕18号</w:t>
      </w: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jc w:val="center"/>
        <w:rPr>
          <w:rFonts w:hint="eastAsia" w:ascii="仿宋_GB2312" w:eastAsia="仿宋_GB2312"/>
          <w:sz w:val="28"/>
          <w:szCs w:val="28"/>
          <w:lang w:val="en-US" w:eastAsia="zh-CN"/>
        </w:rPr>
      </w:pPr>
      <w:bookmarkStart w:id="0" w:name="_GoBack"/>
      <w:bookmarkEnd w:id="0"/>
    </w:p>
    <w:p>
      <w:pPr>
        <w:widowControl/>
        <w:shd w:val="clear" w:color="auto" w:fill="FFFFFF"/>
        <w:spacing w:line="560" w:lineRule="atLeast"/>
        <w:ind w:left="859" w:leftChars="409" w:firstLine="1767" w:firstLineChars="400"/>
        <w:jc w:val="both"/>
        <w:rPr>
          <w:rFonts w:hint="eastAsia" w:ascii="宋体" w:hAnsi="宋体" w:eastAsia="宋体" w:cs="宋体"/>
          <w:b/>
          <w:bCs/>
          <w:i w:val="0"/>
          <w:iCs w:val="0"/>
          <w:caps w:val="0"/>
          <w:color w:val="333333"/>
          <w:spacing w:val="0"/>
          <w:sz w:val="44"/>
          <w:szCs w:val="44"/>
          <w:shd w:val="clear" w:fill="FFFFFF"/>
          <w:lang w:val="en-US" w:eastAsia="zh-CN"/>
        </w:rPr>
      </w:pPr>
      <w:r>
        <w:rPr>
          <w:rFonts w:hint="eastAsia" w:ascii="宋体" w:hAnsi="宋体" w:eastAsia="宋体" w:cs="宋体"/>
          <w:b/>
          <w:bCs/>
          <w:i w:val="0"/>
          <w:iCs w:val="0"/>
          <w:caps w:val="0"/>
          <w:color w:val="333333"/>
          <w:spacing w:val="0"/>
          <w:sz w:val="44"/>
          <w:szCs w:val="44"/>
          <w:shd w:val="clear" w:fill="FFFFFF"/>
        </w:rPr>
        <w:t>投诉处理</w:t>
      </w:r>
      <w:r>
        <w:rPr>
          <w:rFonts w:hint="eastAsia" w:ascii="宋体" w:hAnsi="宋体" w:eastAsia="宋体" w:cs="宋体"/>
          <w:b/>
          <w:bCs/>
          <w:i w:val="0"/>
          <w:iCs w:val="0"/>
          <w:caps w:val="0"/>
          <w:color w:val="333333"/>
          <w:spacing w:val="0"/>
          <w:sz w:val="44"/>
          <w:szCs w:val="44"/>
          <w:shd w:val="clear" w:fill="FFFFFF"/>
          <w:lang w:val="en-US" w:eastAsia="zh-CN"/>
        </w:rPr>
        <w:t>决定书</w:t>
      </w:r>
    </w:p>
    <w:p>
      <w:pPr>
        <w:widowControl/>
        <w:shd w:val="clear" w:color="auto" w:fill="FFFFFF"/>
        <w:spacing w:line="560" w:lineRule="atLeast"/>
        <w:ind w:left="859" w:leftChars="409" w:firstLine="1767" w:firstLineChars="400"/>
        <w:jc w:val="both"/>
        <w:rPr>
          <w:rFonts w:hint="eastAsia" w:ascii="宋体" w:hAnsi="宋体" w:eastAsia="宋体" w:cs="宋体"/>
          <w:b/>
          <w:bCs/>
          <w:i w:val="0"/>
          <w:iCs w:val="0"/>
          <w:caps w:val="0"/>
          <w:color w:val="333333"/>
          <w:spacing w:val="0"/>
          <w:sz w:val="44"/>
          <w:szCs w:val="44"/>
          <w:shd w:val="clear" w:fill="FFFFFF"/>
          <w:lang w:val="en-US" w:eastAsia="zh-CN"/>
        </w:rPr>
      </w:pPr>
    </w:p>
    <w:p>
      <w:pPr>
        <w:widowControl/>
        <w:shd w:val="clear" w:color="auto" w:fill="FFFFFF"/>
        <w:spacing w:line="560" w:lineRule="atLeas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一、项目</w:t>
      </w:r>
      <w:r>
        <w:rPr>
          <w:rFonts w:hint="eastAsia" w:ascii="仿宋_GB2312" w:hAnsi="仿宋_GB2312" w:eastAsia="仿宋_GB2312" w:cs="仿宋_GB2312"/>
          <w:b/>
          <w:bCs/>
          <w:sz w:val="32"/>
          <w:szCs w:val="32"/>
        </w:rPr>
        <w:t>编号：</w:t>
      </w:r>
      <w:r>
        <w:rPr>
          <w:rFonts w:hint="eastAsia" w:ascii="仿宋_GB2312" w:hAnsi="仿宋_GB2312" w:eastAsia="仿宋_GB2312" w:cs="仿宋_GB2312"/>
          <w:sz w:val="32"/>
          <w:szCs w:val="32"/>
        </w:rPr>
        <w:t>ZKGSJA-[2023]C009号</w:t>
      </w:r>
    </w:p>
    <w:p>
      <w:pPr>
        <w:widowControl/>
        <w:shd w:val="clear" w:color="auto" w:fill="FFFFFF"/>
        <w:spacing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rPr>
        <w:t>永丰县高标准设施蔬菜基地建设项目一期单体钢架大棚采购项目</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三、相关当事人</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投诉人：江西盛特威环境建设有限公司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地址：江西省吉安市吉安县城北新区吉安大道68号亿都家居博览城1栋1-306  </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被投诉人1：</w:t>
      </w:r>
      <w:r>
        <w:rPr>
          <w:rFonts w:hint="eastAsia" w:ascii="仿宋_GB2312" w:hAnsi="仿宋_GB2312" w:eastAsia="仿宋_GB2312" w:cs="仿宋_GB2312"/>
          <w:sz w:val="32"/>
          <w:szCs w:val="32"/>
          <w:lang w:val="en-US" w:eastAsia="zh-CN"/>
        </w:rPr>
        <w:t>永丰县蔬菜产业发展中心</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地址：永丰县尹家坪路9号</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被投诉人2：中科高盛咨询集团有限公司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地址：江西省吉安市吉州区迎宾大道6号凯旋华府13幢13楼1301</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基本情况</w:t>
      </w:r>
    </w:p>
    <w:p>
      <w:pPr>
        <w:widowControl/>
        <w:shd w:val="clear" w:color="auto" w:fill="FFFFFF"/>
        <w:spacing w:line="560" w:lineRule="atLeas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rPr>
        <w:t>投</w:t>
      </w:r>
      <w:r>
        <w:rPr>
          <w:rFonts w:hint="eastAsia" w:ascii="仿宋_GB2312" w:hAnsi="仿宋_GB2312" w:eastAsia="仿宋_GB2312" w:cs="仿宋_GB2312"/>
          <w:sz w:val="32"/>
          <w:szCs w:val="32"/>
        </w:rPr>
        <w:t>诉人对本项目于202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日向代理机构提出质疑，采购代理机构于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日对质疑进行了答复，投诉人对质疑答复不满意，于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日向本机关提出投诉。</w:t>
      </w:r>
      <w:r>
        <w:rPr>
          <w:rFonts w:hint="eastAsia" w:ascii="仿宋_GB2312" w:hAnsi="仿宋_GB2312" w:eastAsia="仿宋_GB2312" w:cs="仿宋_GB2312"/>
          <w:i w:val="0"/>
          <w:iCs w:val="0"/>
          <w:caps w:val="0"/>
          <w:color w:val="333333"/>
          <w:spacing w:val="0"/>
          <w:sz w:val="32"/>
          <w:szCs w:val="32"/>
          <w:shd w:val="clear" w:fill="FFFFFF"/>
        </w:rPr>
        <w:t>经依法审查</w:t>
      </w:r>
      <w:r>
        <w:rPr>
          <w:rFonts w:hint="eastAsia" w:ascii="仿宋_GB2312" w:hAnsi="仿宋_GB2312" w:eastAsia="仿宋_GB2312" w:cs="仿宋_GB2312"/>
          <w:b w:val="0"/>
          <w:bCs w:val="0"/>
          <w:sz w:val="32"/>
          <w:szCs w:val="32"/>
          <w:lang w:val="en-US" w:eastAsia="zh-CN"/>
        </w:rPr>
        <w:t>，现本投诉案已审查终结。</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五、投诉事项及被投诉人答复</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投诉事项称：本项目于2023年10月16日09:00进行开标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在开标结束后，</w:t>
      </w:r>
      <w:r>
        <w:rPr>
          <w:rFonts w:hint="eastAsia" w:ascii="仿宋_GB2312" w:hAnsi="仿宋_GB2312" w:eastAsia="仿宋_GB2312" w:cs="仿宋_GB2312"/>
          <w:sz w:val="32"/>
          <w:szCs w:val="32"/>
        </w:rPr>
        <w:t>江西盛特威环境建设有限公司</w:t>
      </w:r>
      <w:r>
        <w:rPr>
          <w:rFonts w:hint="eastAsia" w:ascii="仿宋_GB2312" w:hAnsi="仿宋_GB2312" w:eastAsia="仿宋_GB2312" w:cs="仿宋_GB2312"/>
          <w:b w:val="0"/>
          <w:bCs w:val="0"/>
          <w:sz w:val="32"/>
          <w:szCs w:val="32"/>
          <w:lang w:val="en-US" w:eastAsia="zh-CN"/>
        </w:rPr>
        <w:t>联系采购招标代理知晓具体得分情况后发现技术评分得分为40分，其中技术基础分35分，其它技术分20分。因此在其它技术得分仅得5分。事实依据：根据招标文件可知技术评分除去技术基础分35分，其余20分均为检测报告得分。(评审依据：提供第三方检测机构出具CMA或CNAS标识的检验报告复印件并加盖公章。)</w:t>
      </w:r>
      <w:r>
        <w:rPr>
          <w:rFonts w:hint="eastAsia" w:ascii="仿宋_GB2312" w:hAnsi="仿宋_GB2312" w:eastAsia="仿宋_GB2312" w:cs="仿宋_GB2312"/>
          <w:sz w:val="32"/>
          <w:szCs w:val="32"/>
        </w:rPr>
        <w:t>江西盛特威环境建设有限公司</w:t>
      </w:r>
      <w:r>
        <w:rPr>
          <w:rFonts w:hint="eastAsia" w:ascii="仿宋_GB2312" w:hAnsi="仿宋_GB2312" w:eastAsia="仿宋_GB2312" w:cs="仿宋_GB2312"/>
          <w:b w:val="0"/>
          <w:bCs w:val="0"/>
          <w:sz w:val="32"/>
          <w:szCs w:val="32"/>
          <w:lang w:val="en-US" w:eastAsia="zh-CN"/>
        </w:rPr>
        <w:t>参与投标的投标文件中所提供的数据及材料都是完全按照招标文件要求提供的，(详情可查看已递交的投标文件)那么为什么我公司的检测报告得分仅有5分，这不符合常理，是否是评审专家区别对待呢?为意向单位保驾护航。</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被投拆人答复：</w:t>
      </w:r>
      <w:r>
        <w:rPr>
          <w:rFonts w:hint="eastAsia" w:ascii="仿宋_GB2312" w:hAnsi="仿宋_GB2312" w:eastAsia="仿宋_GB2312" w:cs="仿宋_GB2312"/>
          <w:b w:val="0"/>
          <w:bCs w:val="0"/>
          <w:sz w:val="32"/>
          <w:szCs w:val="32"/>
          <w:lang w:val="en-US" w:eastAsia="zh-CN"/>
        </w:rPr>
        <w:t>根据评标专家组按照招标文件评标办法(技术部分:投标产品的质量保障投标人提供所投产品制造商原材料（热浸锌圆管）参照：GB/13793-2016《直缝电焊钢管》检测依据，满足以下条件的得分；最多得15分),招标文件（热浸锌圆管）分别有（Φ32×1.5；Φ25×1.2；Φ22×1.2）三种规格，投标人必须同时提供相应的检验报告才能得分，评标专家组对 9 家投标单位按照公平、公正的要求进行评审，并不存在区别对待。</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六、处理依据及结果</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本机关审查采购文件、投标文件以及采购信息公告，向采购单位了解和组织专家论证，中标人提供相关材料，查明，所投热浸锌圆管制造商为江苏亚泰管业制造有限公司，投诉人的投标文件中提供的检测报告的样品外径为25mm，未涵盖招标文件材料清单及参数要求的所有外径（含32mm、25mm、22mm三种）；投诉人的投标文件中提供的检测报告的样品壁厚为1.51mm，不属于招标文件材料清单及参数要求的壁厚（含1.5mm、1.2mm两种）。未满足评审因素“投标人提供所投产品制造商原材料（热浸锌圆管）参照：GB/13793-2016《直缝电焊钢管》检测依据”要求的所有所投产品。基于以上事实，本机关认定评标委员会对投诉人的技术评审符合招标文件约定。该项投诉缺乏事实依据，投诉不成立。</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权利告知</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如不服本决定，可以在接到本决定书之日起60日内向</w:t>
      </w:r>
      <w:r>
        <w:rPr>
          <w:rFonts w:hint="eastAsia" w:ascii="仿宋_GB2312" w:hAnsi="仿宋_GB2312" w:eastAsia="仿宋_GB2312" w:cs="仿宋_GB2312"/>
          <w:b w:val="0"/>
          <w:bCs w:val="0"/>
          <w:sz w:val="32"/>
          <w:szCs w:val="32"/>
          <w:lang w:val="en-US" w:eastAsia="zh-CN"/>
        </w:rPr>
        <w:t>永丰县</w:t>
      </w:r>
      <w:r>
        <w:rPr>
          <w:rFonts w:hint="eastAsia" w:ascii="仿宋_GB2312" w:hAnsi="仿宋_GB2312" w:eastAsia="仿宋_GB2312" w:cs="仿宋_GB2312"/>
          <w:b w:val="0"/>
          <w:bCs w:val="0"/>
          <w:sz w:val="32"/>
          <w:szCs w:val="32"/>
        </w:rPr>
        <w:t>人民政府申请行政复议，或者在接到本决定书之日起6个月内依法向人民法院提起行政诉讼。</w:t>
      </w: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永丰县财政局</w:t>
      </w:r>
    </w:p>
    <w:p>
      <w:pPr>
        <w:widowControl/>
        <w:shd w:val="clear" w:color="auto" w:fill="FFFFFF"/>
        <w:spacing w:line="560" w:lineRule="atLeast"/>
        <w:rPr>
          <w:rFonts w:hint="eastAsia" w:ascii="仿宋_GB2312" w:hAnsi="仿宋_GB2312" w:eastAsia="仿宋_GB2312" w:cs="仿宋_GB2312"/>
          <w:b w:val="0"/>
          <w:bCs w:val="0"/>
          <w:sz w:val="28"/>
          <w:szCs w:val="32"/>
        </w:rPr>
      </w:pPr>
      <w:r>
        <w:rPr>
          <w:rFonts w:hint="eastAsia" w:ascii="仿宋_GB2312" w:hAnsi="仿宋_GB2312" w:eastAsia="仿宋_GB2312" w:cs="仿宋_GB2312"/>
          <w:b w:val="0"/>
          <w:bCs w:val="0"/>
          <w:sz w:val="32"/>
          <w:szCs w:val="32"/>
          <w:lang w:val="en-US" w:eastAsia="zh-CN"/>
        </w:rPr>
        <w:t xml:space="preserve">                                    2023年11月</w:t>
      </w:r>
      <w:r>
        <w:rPr>
          <w:rFonts w:hint="default"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lang w:val="en-US" w:eastAsia="zh-CN"/>
        </w:rPr>
        <w:t>日</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32"/>
        </w:rPr>
        <w:t xml:space="preserve">           </w: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NmZlMDk4M2U1ZTgxZDJkNzY1Njg2ZjJkNTZmZjYifQ=="/>
  </w:docVars>
  <w:rsids>
    <w:rsidRoot w:val="00F812D3"/>
    <w:rsid w:val="00023FE4"/>
    <w:rsid w:val="00025953"/>
    <w:rsid w:val="00031CD0"/>
    <w:rsid w:val="001D5705"/>
    <w:rsid w:val="002009B6"/>
    <w:rsid w:val="0021795D"/>
    <w:rsid w:val="00283553"/>
    <w:rsid w:val="00293C96"/>
    <w:rsid w:val="00334503"/>
    <w:rsid w:val="00365D25"/>
    <w:rsid w:val="00371E20"/>
    <w:rsid w:val="003A70E4"/>
    <w:rsid w:val="003C3537"/>
    <w:rsid w:val="004B1330"/>
    <w:rsid w:val="004D5740"/>
    <w:rsid w:val="006022FB"/>
    <w:rsid w:val="0063355E"/>
    <w:rsid w:val="00665E63"/>
    <w:rsid w:val="007E244C"/>
    <w:rsid w:val="00802177"/>
    <w:rsid w:val="00806421"/>
    <w:rsid w:val="00893836"/>
    <w:rsid w:val="008B4833"/>
    <w:rsid w:val="00A22B85"/>
    <w:rsid w:val="00BB0FFD"/>
    <w:rsid w:val="00C0473E"/>
    <w:rsid w:val="00C32DD1"/>
    <w:rsid w:val="00CA0BAD"/>
    <w:rsid w:val="00CB63C3"/>
    <w:rsid w:val="00CF30E9"/>
    <w:rsid w:val="00CF605D"/>
    <w:rsid w:val="00D33324"/>
    <w:rsid w:val="00D83CAE"/>
    <w:rsid w:val="00DB4D27"/>
    <w:rsid w:val="00EC1611"/>
    <w:rsid w:val="00F02827"/>
    <w:rsid w:val="00F812D3"/>
    <w:rsid w:val="00F9340F"/>
    <w:rsid w:val="00FD6C20"/>
    <w:rsid w:val="00FE3DED"/>
    <w:rsid w:val="08D24D3B"/>
    <w:rsid w:val="0A7A6896"/>
    <w:rsid w:val="0E76520D"/>
    <w:rsid w:val="115912F5"/>
    <w:rsid w:val="14EF600E"/>
    <w:rsid w:val="1E1F4A47"/>
    <w:rsid w:val="222E588B"/>
    <w:rsid w:val="22C668AB"/>
    <w:rsid w:val="27764078"/>
    <w:rsid w:val="27793638"/>
    <w:rsid w:val="28AB1317"/>
    <w:rsid w:val="291F71B4"/>
    <w:rsid w:val="376F718C"/>
    <w:rsid w:val="377F4179"/>
    <w:rsid w:val="3CEF05EA"/>
    <w:rsid w:val="4FF57235"/>
    <w:rsid w:val="508D1967"/>
    <w:rsid w:val="5A696955"/>
    <w:rsid w:val="5A762E3E"/>
    <w:rsid w:val="61806BF4"/>
    <w:rsid w:val="642167B4"/>
    <w:rsid w:val="677F2E3B"/>
    <w:rsid w:val="68D960E1"/>
    <w:rsid w:val="72A81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none"/>
    </w:rPr>
  </w:style>
  <w:style w:type="character" w:styleId="7">
    <w:name w:val="Emphasis"/>
    <w:basedOn w:val="5"/>
    <w:qFormat/>
    <w:uiPriority w:val="20"/>
  </w:style>
  <w:style w:type="character" w:styleId="8">
    <w:name w:val="Hyperlink"/>
    <w:basedOn w:val="5"/>
    <w:semiHidden/>
    <w:unhideWhenUsed/>
    <w:qFormat/>
    <w:uiPriority w:val="99"/>
    <w:rPr>
      <w:color w:val="0000FF"/>
      <w:u w:val="none"/>
    </w:r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_37aak"/>
    <w:basedOn w:val="5"/>
    <w:qFormat/>
    <w:uiPriority w:val="0"/>
  </w:style>
  <w:style w:type="character" w:customStyle="1" w:styleId="13">
    <w:name w:val="hover7"/>
    <w:basedOn w:val="5"/>
    <w:qFormat/>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1894</Words>
  <Characters>2027</Characters>
  <Lines>6</Lines>
  <Paragraphs>1</Paragraphs>
  <TotalTime>34</TotalTime>
  <ScaleCrop>false</ScaleCrop>
  <LinksUpToDate>false</LinksUpToDate>
  <CharactersWithSpaces>2086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2023-04-24T14:25:00Z</dcterms:created>
  <dc:creator>XXX</dc:creator>
  <cp:lastModifiedBy>半轮明月</cp:lastModifiedBy>
  <cp:lastPrinted>2023-11-23T01:04:43Z</cp:lastPrinted>
  <dcterms:modified xsi:type="dcterms:W3CDTF">2023-11-23T01:06:41Z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20B63F4A1C124D1F99E5AF3263A2199D_12</vt:lpwstr>
  </property>
</Properties>
</file>