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532BBF16">
      <w:pPr>
        <w:keepNext/>
        <w:keepLines/>
        <w:shd w:val="clear" w:color="auto" w:fill="FFFFFF"/>
        <w:tabs>
          <w:tab w:val="left" w:pos="0"/>
        </w:tabs>
        <w:adjustRightInd w:val="0"/>
        <w:spacing w:after="201" w:line="560" w:lineRule="exact"/>
        <w:jc w:val="center"/>
        <w:outlineLvl w:val="0"/>
        <w:rPr>
          <w:rFonts w:hint="eastAsia" w:ascii="方正小标宋简体" w:hAnsi="宋体" w:eastAsia="方正小标宋简体" w:cs="宋体"/>
          <w:color w:val="000000" w:themeColor="text1"/>
          <w:kern w:val="0"/>
          <w:sz w:val="44"/>
          <w:szCs w:val="44"/>
          <w14:textFill>
            <w14:solidFill>
              <w14:schemeClr w14:val="tx1"/>
            </w14:solidFill>
          </w14:textFill>
        </w:rPr>
      </w:pPr>
      <w:bookmarkStart w:id="0" w:name="_Toc28359044"/>
      <w:r>
        <w:rPr>
          <w:rFonts w:hint="eastAsia" w:ascii="方正小标宋简体" w:hAnsi="华文中宋" w:eastAsia="方正小标宋简体" w:cs="宋体"/>
          <w:color w:val="000000" w:themeColor="text1"/>
          <w:kern w:val="0"/>
          <w:sz w:val="44"/>
          <w:szCs w:val="44"/>
          <w14:textFill>
            <w14:solidFill>
              <w14:schemeClr w14:val="tx1"/>
            </w14:solidFill>
          </w14:textFill>
        </w:rPr>
        <w:t>行政处罚结果公告</w:t>
      </w:r>
      <w:bookmarkEnd w:id="0"/>
    </w:p>
    <w:p w14:paraId="547FE7E5">
      <w:pPr>
        <w:keepNext w:val="0"/>
        <w:keepLines w:val="0"/>
        <w:pageBreakBefore w:val="0"/>
        <w:widowControl/>
        <w:shd w:val="clear" w:color="auto" w:fill="FFFFFF"/>
        <w:kinsoku/>
        <w:wordWrap/>
        <w:overflowPunct/>
        <w:topLinePunct w:val="0"/>
        <w:autoSpaceDE/>
        <w:autoSpaceDN/>
        <w:bidi w:val="0"/>
        <w:adjustRightInd/>
        <w:snapToGrid/>
        <w:spacing w:before="46" w:after="201" w:line="560" w:lineRule="exact"/>
        <w:ind w:firstLine="640" w:firstLineChars="200"/>
        <w:jc w:val="left"/>
        <w:textAlignment w:val="auto"/>
        <w:rPr>
          <w:rFonts w:hint="eastAsia" w:ascii="黑体" w:hAnsi="黑体" w:eastAsia="黑体" w:cs="宋体"/>
          <w:color w:val="383838"/>
          <w:kern w:val="0"/>
          <w:sz w:val="32"/>
          <w:szCs w:val="32"/>
        </w:rPr>
      </w:pPr>
    </w:p>
    <w:p w14:paraId="62E2D302">
      <w:pPr>
        <w:keepNext w:val="0"/>
        <w:keepLines w:val="0"/>
        <w:pageBreakBefore w:val="0"/>
        <w:widowControl/>
        <w:shd w:val="clear" w:color="auto" w:fill="FFFFFF"/>
        <w:kinsoku/>
        <w:wordWrap/>
        <w:overflowPunct/>
        <w:topLinePunct w:val="0"/>
        <w:autoSpaceDE/>
        <w:autoSpaceDN/>
        <w:bidi w:val="0"/>
        <w:adjustRightInd/>
        <w:snapToGrid/>
        <w:spacing w:line="560" w:lineRule="exact"/>
        <w:ind w:firstLine="640" w:firstLineChars="200"/>
        <w:jc w:val="left"/>
        <w:textAlignment w:val="auto"/>
        <w:rPr>
          <w:rFonts w:ascii="黑体" w:hAnsi="黑体" w:eastAsia="黑体" w:cs="Times New Roman"/>
          <w:color w:val="000000" w:themeColor="text1"/>
          <w:kern w:val="0"/>
          <w:sz w:val="32"/>
          <w:szCs w:val="32"/>
          <w14:textFill>
            <w14:solidFill>
              <w14:schemeClr w14:val="tx1"/>
            </w14:solidFill>
          </w14:textFill>
        </w:rPr>
      </w:pPr>
      <w:r>
        <w:rPr>
          <w:rFonts w:ascii="黑体" w:hAnsi="黑体" w:eastAsia="黑体" w:cs="Times New Roman"/>
          <w:color w:val="000000" w:themeColor="text1"/>
          <w:kern w:val="0"/>
          <w:sz w:val="32"/>
          <w:szCs w:val="32"/>
          <w14:textFill>
            <w14:solidFill>
              <w14:schemeClr w14:val="tx1"/>
            </w14:solidFill>
          </w14:textFill>
        </w:rPr>
        <w:t>一、相关当事人</w:t>
      </w:r>
    </w:p>
    <w:p w14:paraId="3AE250FE">
      <w:pPr>
        <w:keepNext w:val="0"/>
        <w:keepLines w:val="0"/>
        <w:pageBreakBefore w:val="0"/>
        <w:kinsoku/>
        <w:wordWrap/>
        <w:overflowPunct/>
        <w:topLinePunct w:val="0"/>
        <w:autoSpaceDE/>
        <w:autoSpaceDN/>
        <w:bidi w:val="0"/>
        <w:adjustRightInd/>
        <w:snapToGrid/>
        <w:spacing w:line="560" w:lineRule="exact"/>
        <w:ind w:firstLine="630"/>
        <w:textAlignment w:val="auto"/>
        <w:rPr>
          <w:rFonts w:hint="eastAsia" w:ascii="Times New Roman" w:hAnsi="Times New Roman" w:eastAsia="仿宋_GB2312" w:cs="Times New Roman"/>
          <w:color w:val="000000" w:themeColor="text1"/>
          <w:kern w:val="0"/>
          <w:sz w:val="32"/>
          <w:szCs w:val="32"/>
          <w:lang w:val="en-US" w:eastAsia="zh-CN"/>
          <w14:textFill>
            <w14:solidFill>
              <w14:schemeClr w14:val="tx1"/>
            </w14:solidFill>
          </w14:textFill>
        </w:rPr>
      </w:pPr>
      <w:r>
        <w:rPr>
          <w:rFonts w:ascii="Times New Roman" w:hAnsi="Times New Roman" w:eastAsia="仿宋_GB2312" w:cs="Times New Roman"/>
          <w:color w:val="000000" w:themeColor="text1"/>
          <w:kern w:val="0"/>
          <w:sz w:val="32"/>
          <w:szCs w:val="32"/>
          <w14:textFill>
            <w14:solidFill>
              <w14:schemeClr w14:val="tx1"/>
            </w14:solidFill>
          </w14:textFill>
        </w:rPr>
        <w:t>当事人：</w:t>
      </w:r>
      <w:r>
        <w:rPr>
          <w:rFonts w:hint="eastAsia" w:ascii="Times New Roman" w:hAnsi="Times New Roman" w:eastAsia="仿宋_GB2312" w:cs="Times New Roman"/>
          <w:color w:val="000000" w:themeColor="text1"/>
          <w:kern w:val="0"/>
          <w:sz w:val="32"/>
          <w:szCs w:val="32"/>
          <w:lang w:val="en-US" w:eastAsia="zh-CN"/>
          <w14:textFill>
            <w14:solidFill>
              <w14:schemeClr w14:val="tx1"/>
            </w14:solidFill>
          </w14:textFill>
        </w:rPr>
        <w:t>江西乐泊实业有限公司</w:t>
      </w:r>
    </w:p>
    <w:p w14:paraId="0146177C">
      <w:pPr>
        <w:keepNext w:val="0"/>
        <w:keepLines w:val="0"/>
        <w:pageBreakBefore w:val="0"/>
        <w:kinsoku/>
        <w:wordWrap/>
        <w:overflowPunct/>
        <w:topLinePunct w:val="0"/>
        <w:autoSpaceDE/>
        <w:autoSpaceDN/>
        <w:bidi w:val="0"/>
        <w:adjustRightInd/>
        <w:snapToGrid/>
        <w:spacing w:line="560" w:lineRule="exact"/>
        <w:ind w:firstLine="630"/>
        <w:textAlignment w:val="auto"/>
        <w:rPr>
          <w:rFonts w:hint="eastAsia" w:ascii="Times New Roman" w:hAnsi="Times New Roman" w:eastAsia="仿宋_GB2312" w:cs="Times New Roman"/>
          <w:color w:val="000000" w:themeColor="text1"/>
          <w:sz w:val="32"/>
          <w:szCs w:val="32"/>
          <w:lang w:val="en-US" w:eastAsia="zh-CN"/>
          <w14:textFill>
            <w14:solidFill>
              <w14:schemeClr w14:val="tx1"/>
            </w14:solidFill>
          </w14:textFill>
        </w:rPr>
      </w:pPr>
      <w:r>
        <w:rPr>
          <w:rFonts w:ascii="Times New Roman" w:hAnsi="Times New Roman" w:eastAsia="仿宋_GB2312" w:cs="Times New Roman"/>
          <w:color w:val="000000" w:themeColor="text1"/>
          <w:kern w:val="0"/>
          <w:sz w:val="32"/>
          <w:szCs w:val="32"/>
          <w14:textFill>
            <w14:solidFill>
              <w14:schemeClr w14:val="tx1"/>
            </w14:solidFill>
          </w14:textFill>
        </w:rPr>
        <w:t>地  址：</w:t>
      </w:r>
      <w:r>
        <w:rPr>
          <w:rFonts w:hint="eastAsia" w:ascii="Times New Roman" w:hAnsi="Times New Roman" w:eastAsia="仿宋_GB2312" w:cs="Times New Roman"/>
          <w:color w:val="000000" w:themeColor="text1"/>
          <w:sz w:val="32"/>
          <w:szCs w:val="32"/>
          <w14:textFill>
            <w14:solidFill>
              <w14:schemeClr w14:val="tx1"/>
            </w14:solidFill>
          </w14:textFill>
        </w:rPr>
        <w:t>江西省宜春市袁州区楠木乡富裕路183号</w:t>
      </w:r>
    </w:p>
    <w:p w14:paraId="27EB8D28">
      <w:pPr>
        <w:keepNext w:val="0"/>
        <w:keepLines w:val="0"/>
        <w:pageBreakBefore w:val="0"/>
        <w:widowControl/>
        <w:shd w:val="clear" w:color="auto" w:fill="FFFFFF"/>
        <w:kinsoku/>
        <w:wordWrap/>
        <w:overflowPunct/>
        <w:topLinePunct w:val="0"/>
        <w:autoSpaceDE/>
        <w:autoSpaceDN/>
        <w:bidi w:val="0"/>
        <w:adjustRightInd/>
        <w:snapToGrid/>
        <w:spacing w:line="560" w:lineRule="exact"/>
        <w:ind w:firstLine="640" w:firstLineChars="200"/>
        <w:jc w:val="left"/>
        <w:textAlignment w:val="auto"/>
        <w:rPr>
          <w:rFonts w:ascii="黑体" w:hAnsi="黑体" w:eastAsia="黑体" w:cs="Times New Roman"/>
          <w:color w:val="000000" w:themeColor="text1"/>
          <w:kern w:val="0"/>
          <w:sz w:val="32"/>
          <w:szCs w:val="32"/>
          <w14:textFill>
            <w14:solidFill>
              <w14:schemeClr w14:val="tx1"/>
            </w14:solidFill>
          </w14:textFill>
        </w:rPr>
      </w:pPr>
      <w:r>
        <w:rPr>
          <w:rFonts w:ascii="黑体" w:hAnsi="黑体" w:eastAsia="黑体" w:cs="Times New Roman"/>
          <w:color w:val="000000" w:themeColor="text1"/>
          <w:kern w:val="0"/>
          <w:sz w:val="32"/>
          <w:szCs w:val="32"/>
          <w14:textFill>
            <w14:solidFill>
              <w14:schemeClr w14:val="tx1"/>
            </w14:solidFill>
          </w14:textFill>
        </w:rPr>
        <w:t>二、基本情况</w:t>
      </w:r>
    </w:p>
    <w:p w14:paraId="125B0884">
      <w:pPr>
        <w:keepNext w:val="0"/>
        <w:keepLines w:val="0"/>
        <w:pageBreakBefore w:val="0"/>
        <w:widowControl/>
        <w:shd w:val="clear" w:color="auto" w:fill="FFFFFF"/>
        <w:kinsoku/>
        <w:wordWrap/>
        <w:overflowPunct/>
        <w:topLinePunct w:val="0"/>
        <w:autoSpaceDE/>
        <w:autoSpaceDN/>
        <w:bidi w:val="0"/>
        <w:adjustRightInd/>
        <w:snapToGrid/>
        <w:spacing w:line="560" w:lineRule="exact"/>
        <w:ind w:firstLine="641"/>
        <w:textAlignment w:val="auto"/>
        <w:rPr>
          <w:rFonts w:hint="eastAsia" w:ascii="Times New Roman" w:hAnsi="Times New Roman" w:eastAsia="仿宋_GB2312" w:cs="Times New Roman"/>
          <w:color w:val="000000" w:themeColor="text1"/>
          <w:kern w:val="0"/>
          <w:sz w:val="32"/>
          <w:szCs w:val="32"/>
          <w14:textFill>
            <w14:solidFill>
              <w14:schemeClr w14:val="tx1"/>
            </w14:solidFill>
          </w14:textFill>
        </w:rPr>
      </w:pPr>
      <w:r>
        <w:rPr>
          <w:rFonts w:hint="eastAsia" w:ascii="Times New Roman" w:hAnsi="Times New Roman" w:eastAsia="仿宋_GB2312" w:cs="Times New Roman"/>
          <w:color w:val="000000" w:themeColor="text1"/>
          <w:kern w:val="0"/>
          <w:sz w:val="32"/>
          <w:szCs w:val="32"/>
          <w14:textFill>
            <w14:solidFill>
              <w14:schemeClr w14:val="tx1"/>
            </w14:solidFill>
          </w14:textFill>
        </w:rPr>
        <w:t>江西乐泊实业有限公司在宜春市中级人民法院诉讼服务中心电梯加装采购项目（第二次）（项目编号：中心集采</w:t>
      </w:r>
      <w:r>
        <w:rPr>
          <w:rFonts w:hint="eastAsia" w:ascii="仿宋_GB2312" w:hAnsi="仿宋_GB2312" w:eastAsia="仿宋_GB2312" w:cs="仿宋_GB2312"/>
          <w:color w:val="000000" w:themeColor="text1"/>
          <w:kern w:val="0"/>
          <w:sz w:val="32"/>
          <w:szCs w:val="32"/>
          <w14:textFill>
            <w14:solidFill>
              <w14:schemeClr w14:val="tx1"/>
            </w14:solidFill>
          </w14:textFill>
        </w:rPr>
        <w:t>-</w:t>
      </w:r>
      <w:r>
        <w:rPr>
          <w:rFonts w:hint="eastAsia" w:ascii="Times New Roman" w:hAnsi="Times New Roman" w:eastAsia="仿宋_GB2312" w:cs="Times New Roman"/>
          <w:color w:val="000000" w:themeColor="text1"/>
          <w:kern w:val="0"/>
          <w:sz w:val="32"/>
          <w:szCs w:val="32"/>
          <w14:textFill>
            <w14:solidFill>
              <w14:schemeClr w14:val="tx1"/>
            </w14:solidFill>
          </w14:textFill>
        </w:rPr>
        <w:t>YC2023</w:t>
      </w:r>
      <w:r>
        <w:rPr>
          <w:rFonts w:hint="eastAsia" w:ascii="仿宋_GB2312" w:hAnsi="仿宋_GB2312" w:eastAsia="仿宋_GB2312" w:cs="仿宋_GB2312"/>
          <w:color w:val="000000" w:themeColor="text1"/>
          <w:kern w:val="0"/>
          <w:sz w:val="32"/>
          <w:szCs w:val="32"/>
          <w14:textFill>
            <w14:solidFill>
              <w14:schemeClr w14:val="tx1"/>
            </w14:solidFill>
          </w14:textFill>
        </w:rPr>
        <w:t>-</w:t>
      </w:r>
      <w:r>
        <w:rPr>
          <w:rFonts w:hint="eastAsia" w:ascii="Times New Roman" w:hAnsi="Times New Roman" w:eastAsia="仿宋_GB2312" w:cs="Times New Roman"/>
          <w:color w:val="000000" w:themeColor="text1"/>
          <w:kern w:val="0"/>
          <w:sz w:val="32"/>
          <w:szCs w:val="32"/>
          <w14:textFill>
            <w14:solidFill>
              <w14:schemeClr w14:val="tx1"/>
            </w14:solidFill>
          </w14:textFill>
        </w:rPr>
        <w:t>027）</w:t>
      </w:r>
      <w:r>
        <w:rPr>
          <w:rFonts w:hint="eastAsia" w:ascii="Times New Roman" w:hAnsi="Times New Roman" w:eastAsia="仿宋_GB2312" w:cs="Times New Roman"/>
          <w:color w:val="000000" w:themeColor="text1"/>
          <w:kern w:val="0"/>
          <w:sz w:val="32"/>
          <w:szCs w:val="32"/>
          <w:lang w:val="en-US" w:eastAsia="zh-CN"/>
          <w14:textFill>
            <w14:solidFill>
              <w14:schemeClr w14:val="tx1"/>
            </w14:solidFill>
          </w14:textFill>
        </w:rPr>
        <w:t>中</w:t>
      </w:r>
      <w:r>
        <w:rPr>
          <w:rFonts w:hint="eastAsia" w:ascii="Times New Roman" w:hAnsi="Times New Roman" w:eastAsia="仿宋_GB2312" w:cs="Times New Roman"/>
          <w:color w:val="000000" w:themeColor="text1"/>
          <w:kern w:val="0"/>
          <w:sz w:val="32"/>
          <w:szCs w:val="32"/>
          <w14:textFill>
            <w14:solidFill>
              <w14:schemeClr w14:val="tx1"/>
            </w14:solidFill>
          </w14:textFill>
        </w:rPr>
        <w:t>提供虚假材料谋取中标。</w:t>
      </w:r>
    </w:p>
    <w:p w14:paraId="3B17F98A">
      <w:pPr>
        <w:keepNext w:val="0"/>
        <w:keepLines w:val="0"/>
        <w:pageBreakBefore w:val="0"/>
        <w:widowControl/>
        <w:shd w:val="clear" w:color="auto" w:fill="FFFFFF"/>
        <w:kinsoku/>
        <w:wordWrap/>
        <w:overflowPunct/>
        <w:topLinePunct w:val="0"/>
        <w:autoSpaceDE/>
        <w:autoSpaceDN/>
        <w:bidi w:val="0"/>
        <w:adjustRightInd/>
        <w:snapToGrid/>
        <w:spacing w:line="560" w:lineRule="exact"/>
        <w:ind w:firstLine="641"/>
        <w:textAlignment w:val="auto"/>
        <w:rPr>
          <w:rFonts w:ascii="黑体" w:hAnsi="黑体" w:eastAsia="黑体" w:cs="Times New Roman"/>
          <w:color w:val="000000" w:themeColor="text1"/>
          <w:kern w:val="0"/>
          <w:sz w:val="32"/>
          <w:szCs w:val="32"/>
          <w14:textFill>
            <w14:solidFill>
              <w14:schemeClr w14:val="tx1"/>
            </w14:solidFill>
          </w14:textFill>
        </w:rPr>
      </w:pPr>
      <w:r>
        <w:rPr>
          <w:rFonts w:ascii="黑体" w:hAnsi="黑体" w:eastAsia="黑体" w:cs="Times New Roman"/>
          <w:color w:val="000000" w:themeColor="text1"/>
          <w:kern w:val="0"/>
          <w:sz w:val="32"/>
          <w:szCs w:val="32"/>
          <w14:textFill>
            <w14:solidFill>
              <w14:schemeClr w14:val="tx1"/>
            </w14:solidFill>
          </w14:textFill>
        </w:rPr>
        <w:t>三、处罚结果</w:t>
      </w:r>
    </w:p>
    <w:p w14:paraId="3DF2C34F">
      <w:pPr>
        <w:keepNext w:val="0"/>
        <w:keepLines w:val="0"/>
        <w:pageBreakBefore w:val="0"/>
        <w:kinsoku/>
        <w:wordWrap/>
        <w:overflowPunct/>
        <w:topLinePunct w:val="0"/>
        <w:autoSpaceDE/>
        <w:autoSpaceDN/>
        <w:bidi w:val="0"/>
        <w:adjustRightInd/>
        <w:snapToGrid/>
        <w:spacing w:line="560" w:lineRule="exact"/>
        <w:ind w:firstLine="640"/>
        <w:textAlignment w:val="auto"/>
        <w:rPr>
          <w:rFonts w:hint="eastAsia" w:ascii="Times New Roman" w:hAnsi="Times New Roman" w:eastAsia="仿宋_GB2312" w:cs="Times New Roman"/>
          <w:color w:val="000000" w:themeColor="text1"/>
          <w:kern w:val="0"/>
          <w:sz w:val="32"/>
          <w:szCs w:val="32"/>
          <w14:textFill>
            <w14:solidFill>
              <w14:schemeClr w14:val="tx1"/>
            </w14:solidFill>
          </w14:textFill>
        </w:rPr>
      </w:pPr>
      <w:r>
        <w:rPr>
          <w:rFonts w:hint="eastAsia" w:ascii="Times New Roman" w:hAnsi="Times New Roman" w:eastAsia="仿宋_GB2312" w:cs="Times New Roman"/>
          <w:color w:val="000000" w:themeColor="text1"/>
          <w:kern w:val="0"/>
          <w:sz w:val="32"/>
          <w:szCs w:val="32"/>
          <w14:textFill>
            <w14:solidFill>
              <w14:schemeClr w14:val="tx1"/>
            </w14:solidFill>
          </w14:textFill>
        </w:rPr>
        <w:t>依据《中华人民共和国政府采购法》第七十七条，《中华人民共和国行政处罚法》第六条及《财政部门行使行政处罚裁量权指导规范》第十二条</w:t>
      </w:r>
      <w:r>
        <w:rPr>
          <w:rFonts w:hint="eastAsia" w:ascii="Times New Roman" w:hAnsi="Times New Roman" w:eastAsia="仿宋_GB2312" w:cs="Times New Roman"/>
          <w:color w:val="000000" w:themeColor="text1"/>
          <w:kern w:val="0"/>
          <w:sz w:val="32"/>
          <w:szCs w:val="32"/>
          <w:lang w:eastAsia="zh-CN"/>
          <w14:textFill>
            <w14:solidFill>
              <w14:schemeClr w14:val="tx1"/>
            </w14:solidFill>
          </w14:textFill>
        </w:rPr>
        <w:t>，</w:t>
      </w:r>
      <w:r>
        <w:rPr>
          <w:rFonts w:hint="eastAsia" w:ascii="Times New Roman" w:hAnsi="Times New Roman" w:eastAsia="仿宋_GB2312" w:cs="Times New Roman"/>
          <w:color w:val="000000" w:themeColor="text1"/>
          <w:kern w:val="0"/>
          <w:sz w:val="32"/>
          <w:szCs w:val="32"/>
          <w14:textFill>
            <w14:solidFill>
              <w14:schemeClr w14:val="tx1"/>
            </w14:solidFill>
          </w14:textFill>
        </w:rPr>
        <w:t>本机关决定对江西乐泊实业有限公司</w:t>
      </w:r>
      <w:r>
        <w:rPr>
          <w:rFonts w:hint="eastAsia" w:ascii="Times New Roman" w:hAnsi="Times New Roman" w:eastAsia="仿宋_GB2312" w:cs="Times New Roman"/>
          <w:color w:val="000000" w:themeColor="text1"/>
          <w:kern w:val="0"/>
          <w:sz w:val="32"/>
          <w:szCs w:val="32"/>
          <w:lang w:val="en-US" w:eastAsia="zh-CN"/>
          <w14:textFill>
            <w14:solidFill>
              <w14:schemeClr w14:val="tx1"/>
            </w14:solidFill>
          </w14:textFill>
        </w:rPr>
        <w:t>作出</w:t>
      </w:r>
      <w:r>
        <w:rPr>
          <w:rFonts w:hint="eastAsia" w:ascii="Times New Roman" w:hAnsi="Times New Roman" w:eastAsia="仿宋_GB2312" w:cs="Times New Roman"/>
          <w:color w:val="000000" w:themeColor="text1"/>
          <w:kern w:val="0"/>
          <w:sz w:val="32"/>
          <w:szCs w:val="32"/>
          <w14:textFill>
            <w14:solidFill>
              <w14:schemeClr w14:val="tx1"/>
            </w14:solidFill>
          </w14:textFill>
        </w:rPr>
        <w:t>5</w:t>
      </w:r>
      <w:r>
        <w:rPr>
          <w:rFonts w:hint="eastAsia" w:ascii="Times New Roman" w:hAnsi="Times New Roman" w:eastAsia="仿宋_GB2312" w:cs="Times New Roman"/>
          <w:color w:val="000000" w:themeColor="text1"/>
          <w:kern w:val="0"/>
          <w:sz w:val="32"/>
          <w:szCs w:val="32"/>
          <w:lang w:val="en-US" w:eastAsia="zh-CN"/>
          <w14:textFill>
            <w14:solidFill>
              <w14:schemeClr w14:val="tx1"/>
            </w14:solidFill>
          </w14:textFill>
        </w:rPr>
        <w:t>5</w:t>
      </w:r>
      <w:r>
        <w:rPr>
          <w:rFonts w:hint="eastAsia" w:ascii="Times New Roman" w:hAnsi="Times New Roman" w:eastAsia="仿宋_GB2312" w:cs="Times New Roman"/>
          <w:color w:val="000000" w:themeColor="text1"/>
          <w:kern w:val="0"/>
          <w:sz w:val="32"/>
          <w:szCs w:val="32"/>
          <w14:textFill>
            <w14:solidFill>
              <w14:schemeClr w14:val="tx1"/>
            </w14:solidFill>
          </w14:textFill>
        </w:rPr>
        <w:t>00元</w:t>
      </w:r>
      <w:bookmarkStart w:id="1" w:name="_GoBack"/>
      <w:bookmarkEnd w:id="1"/>
      <w:r>
        <w:rPr>
          <w:rFonts w:hint="eastAsia" w:ascii="Times New Roman" w:hAnsi="Times New Roman" w:eastAsia="仿宋_GB2312" w:cs="Times New Roman"/>
          <w:color w:val="000000" w:themeColor="text1"/>
          <w:kern w:val="0"/>
          <w:sz w:val="32"/>
          <w:szCs w:val="32"/>
          <w14:textFill>
            <w14:solidFill>
              <w14:schemeClr w14:val="tx1"/>
            </w14:solidFill>
          </w14:textFill>
        </w:rPr>
        <w:t>罚款</w:t>
      </w:r>
      <w:r>
        <w:rPr>
          <w:rFonts w:hint="eastAsia" w:ascii="Times New Roman" w:hAnsi="Times New Roman" w:eastAsia="仿宋_GB2312" w:cs="Times New Roman"/>
          <w:color w:val="000000" w:themeColor="text1"/>
          <w:kern w:val="0"/>
          <w:sz w:val="32"/>
          <w:szCs w:val="32"/>
          <w:lang w:val="en-US" w:eastAsia="zh-CN"/>
          <w14:textFill>
            <w14:solidFill>
              <w14:schemeClr w14:val="tx1"/>
            </w14:solidFill>
          </w14:textFill>
        </w:rPr>
        <w:t>的行政处罚</w:t>
      </w:r>
      <w:r>
        <w:rPr>
          <w:rFonts w:hint="eastAsia" w:ascii="Times New Roman" w:hAnsi="Times New Roman" w:eastAsia="仿宋_GB2312" w:cs="Times New Roman"/>
          <w:color w:val="000000" w:themeColor="text1"/>
          <w:kern w:val="0"/>
          <w:sz w:val="32"/>
          <w:szCs w:val="32"/>
          <w14:textFill>
            <w14:solidFill>
              <w14:schemeClr w14:val="tx1"/>
            </w14:solidFill>
          </w14:textFill>
        </w:rPr>
        <w:t>。</w:t>
      </w:r>
    </w:p>
    <w:p w14:paraId="20BB0D2A">
      <w:pPr>
        <w:spacing w:line="560" w:lineRule="exact"/>
        <w:rPr>
          <w:rFonts w:ascii="Times New Roman" w:hAnsi="Times New Roman" w:eastAsia="仿宋_GB2312" w:cs="Times New Roman"/>
          <w:color w:val="000000" w:themeColor="text1"/>
          <w:sz w:val="32"/>
          <w:szCs w:val="32"/>
          <w14:textFill>
            <w14:solidFill>
              <w14:schemeClr w14:val="tx1"/>
            </w14:solidFill>
          </w14:textFill>
        </w:rPr>
      </w:pPr>
    </w:p>
    <w:p w14:paraId="2ECE4157">
      <w:pPr>
        <w:spacing w:line="560" w:lineRule="exact"/>
        <w:rPr>
          <w:rFonts w:ascii="Times New Roman" w:hAnsi="Times New Roman" w:eastAsia="仿宋_GB2312" w:cs="Times New Roman"/>
          <w:color w:val="000000" w:themeColor="text1"/>
          <w:sz w:val="32"/>
          <w:szCs w:val="32"/>
          <w14:textFill>
            <w14:solidFill>
              <w14:schemeClr w14:val="tx1"/>
            </w14:solidFill>
          </w14:textFill>
        </w:rPr>
      </w:pPr>
    </w:p>
    <w:p w14:paraId="35776F2D">
      <w:pPr>
        <w:spacing w:line="560" w:lineRule="exact"/>
        <w:rPr>
          <w:rFonts w:ascii="Times New Roman" w:hAnsi="Times New Roman" w:eastAsia="仿宋_GB2312" w:cs="Times New Roman"/>
          <w:color w:val="000000" w:themeColor="text1"/>
          <w:sz w:val="32"/>
          <w:szCs w:val="32"/>
          <w14:textFill>
            <w14:solidFill>
              <w14:schemeClr w14:val="tx1"/>
            </w14:solidFill>
          </w14:textFill>
        </w:rPr>
      </w:pPr>
      <w:r>
        <w:rPr>
          <w:rFonts w:ascii="Times New Roman" w:hAnsi="Times New Roman" w:eastAsia="仿宋_GB2312" w:cs="Times New Roman"/>
          <w:color w:val="000000" w:themeColor="text1"/>
          <w:sz w:val="32"/>
          <w:szCs w:val="32"/>
          <w14:textFill>
            <w14:solidFill>
              <w14:schemeClr w14:val="tx1"/>
            </w14:solidFill>
          </w14:textFill>
        </w:rPr>
        <w:t xml:space="preserve">                               宜春市财政局</w:t>
      </w:r>
    </w:p>
    <w:p w14:paraId="48D4A258">
      <w:pPr>
        <w:spacing w:line="560" w:lineRule="exact"/>
        <w:rPr>
          <w:rFonts w:ascii="Times New Roman" w:hAnsi="Times New Roman" w:eastAsia="仿宋_GB2312" w:cs="Times New Roman"/>
          <w:color w:val="000000" w:themeColor="text1"/>
          <w:sz w:val="32"/>
          <w:szCs w:val="32"/>
          <w14:textFill>
            <w14:solidFill>
              <w14:schemeClr w14:val="tx1"/>
            </w14:solidFill>
          </w14:textFill>
        </w:rPr>
      </w:pPr>
      <w:r>
        <w:rPr>
          <w:rFonts w:ascii="Times New Roman" w:hAnsi="Times New Roman" w:eastAsia="仿宋_GB2312" w:cs="Times New Roman"/>
          <w:color w:val="000000" w:themeColor="text1"/>
          <w:sz w:val="32"/>
          <w:szCs w:val="32"/>
          <w14:textFill>
            <w14:solidFill>
              <w14:schemeClr w14:val="tx1"/>
            </w14:solidFill>
          </w14:textFill>
        </w:rPr>
        <w:t xml:space="preserve">                              202</w:t>
      </w:r>
      <w:r>
        <w:rPr>
          <w:rFonts w:hint="eastAsia" w:ascii="Times New Roman" w:hAnsi="Times New Roman" w:eastAsia="仿宋_GB2312" w:cs="Times New Roman"/>
          <w:color w:val="000000" w:themeColor="text1"/>
          <w:sz w:val="32"/>
          <w:szCs w:val="32"/>
          <w:lang w:val="en-US" w:eastAsia="zh-CN"/>
          <w14:textFill>
            <w14:solidFill>
              <w14:schemeClr w14:val="tx1"/>
            </w14:solidFill>
          </w14:textFill>
        </w:rPr>
        <w:t>5</w:t>
      </w:r>
      <w:r>
        <w:rPr>
          <w:rFonts w:ascii="Times New Roman" w:hAnsi="Times New Roman" w:eastAsia="仿宋_GB2312" w:cs="Times New Roman"/>
          <w:color w:val="000000" w:themeColor="text1"/>
          <w:sz w:val="32"/>
          <w:szCs w:val="32"/>
          <w14:textFill>
            <w14:solidFill>
              <w14:schemeClr w14:val="tx1"/>
            </w14:solidFill>
          </w14:textFill>
        </w:rPr>
        <w:t>年</w:t>
      </w:r>
      <w:r>
        <w:rPr>
          <w:rFonts w:hint="eastAsia" w:ascii="Times New Roman" w:hAnsi="Times New Roman" w:eastAsia="仿宋_GB2312" w:cs="Times New Roman"/>
          <w:color w:val="000000" w:themeColor="text1"/>
          <w:sz w:val="32"/>
          <w:szCs w:val="32"/>
          <w:lang w:val="en-US" w:eastAsia="zh-CN"/>
          <w14:textFill>
            <w14:solidFill>
              <w14:schemeClr w14:val="tx1"/>
            </w14:solidFill>
          </w14:textFill>
        </w:rPr>
        <w:t>2</w:t>
      </w:r>
      <w:r>
        <w:rPr>
          <w:rFonts w:ascii="Times New Roman" w:hAnsi="Times New Roman" w:eastAsia="仿宋_GB2312" w:cs="Times New Roman"/>
          <w:color w:val="000000" w:themeColor="text1"/>
          <w:sz w:val="32"/>
          <w:szCs w:val="32"/>
          <w14:textFill>
            <w14:solidFill>
              <w14:schemeClr w14:val="tx1"/>
            </w14:solidFill>
          </w14:textFill>
        </w:rPr>
        <w:t>月</w:t>
      </w:r>
      <w:r>
        <w:rPr>
          <w:rFonts w:hint="eastAsia" w:ascii="Times New Roman" w:hAnsi="Times New Roman" w:eastAsia="仿宋_GB2312" w:cs="Times New Roman"/>
          <w:color w:val="000000" w:themeColor="text1"/>
          <w:sz w:val="32"/>
          <w:szCs w:val="32"/>
          <w:lang w:val="en-US" w:eastAsia="zh-CN"/>
          <w14:textFill>
            <w14:solidFill>
              <w14:schemeClr w14:val="tx1"/>
            </w14:solidFill>
          </w14:textFill>
        </w:rPr>
        <w:t>12</w:t>
      </w:r>
      <w:r>
        <w:rPr>
          <w:rFonts w:ascii="Times New Roman" w:hAnsi="Times New Roman" w:eastAsia="仿宋_GB2312" w:cs="Times New Roman"/>
          <w:color w:val="000000" w:themeColor="text1"/>
          <w:sz w:val="32"/>
          <w:szCs w:val="32"/>
          <w14:textFill>
            <w14:solidFill>
              <w14:schemeClr w14:val="tx1"/>
            </w14:solidFill>
          </w14:textFill>
        </w:rPr>
        <w:t>日</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embedRegular r:id="rId1" w:fontKey="{51973784-1005-4A91-B219-E95F5AE4C01F}"/>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方正小标宋简体">
    <w:panose1 w:val="02010601030101010101"/>
    <w:charset w:val="86"/>
    <w:family w:val="script"/>
    <w:pitch w:val="default"/>
    <w:sig w:usb0="00000001" w:usb1="080E0000" w:usb2="00000000" w:usb3="00000000" w:csb0="00040000" w:csb1="00000000"/>
  </w:font>
  <w:font w:name="华文中宋">
    <w:panose1 w:val="02010600040101010101"/>
    <w:charset w:val="86"/>
    <w:family w:val="auto"/>
    <w:pitch w:val="default"/>
    <w:sig w:usb0="00000287" w:usb1="080F0000" w:usb2="00000000" w:usb3="00000000" w:csb0="0004009F" w:csb1="DFD70000"/>
    <w:embedRegular r:id="rId2" w:fontKey="{9F7DD24C-B86F-4259-A947-F2D182F2BC48}"/>
  </w:font>
  <w:font w:name="仿宋_GB2312">
    <w:panose1 w:val="02010609030101010101"/>
    <w:charset w:val="86"/>
    <w:family w:val="modern"/>
    <w:pitch w:val="default"/>
    <w:sig w:usb0="00000001" w:usb1="080E0000" w:usb2="00000000" w:usb3="00000000" w:csb0="00040000" w:csb1="00000000"/>
    <w:embedRegular r:id="rId3" w:fontKey="{851E1DAF-0EEB-4796-8526-2FCE9F3DF581}"/>
  </w:font>
  <w:font w:name="Segoe UI Symbol">
    <w:panose1 w:val="020B0502040204020203"/>
    <w:charset w:val="00"/>
    <w:family w:val="auto"/>
    <w:pitch w:val="default"/>
    <w:sig w:usb0="800001E3" w:usb1="1200FFEF" w:usb2="00040000" w:usb3="04000000" w:csb0="00000001" w:csb1="40000000"/>
  </w:font>
  <w:font w:name="Bahnschrift Light SemiCondensed">
    <w:panose1 w:val="020B0502040204020203"/>
    <w:charset w:val="00"/>
    <w:family w:val="auto"/>
    <w:pitch w:val="default"/>
    <w:sig w:usb0="A00002C7" w:usb1="00000002" w:usb2="00000000" w:usb3="00000000" w:csb0="2000019F" w:csb1="00000000"/>
  </w:font>
  <w:font w:name="Showcard Gothic">
    <w:panose1 w:val="04020904020102020604"/>
    <w:charset w:val="00"/>
    <w:family w:val="auto"/>
    <w:pitch w:val="default"/>
    <w:sig w:usb0="00000003" w:usb1="00000000" w:usb2="00000000" w:usb3="00000000" w:csb0="20000001" w:csb1="00000000"/>
  </w:font>
  <w:font w:name="Sitka Small">
    <w:panose1 w:val="02000505000000020004"/>
    <w:charset w:val="00"/>
    <w:family w:val="auto"/>
    <w:pitch w:val="default"/>
    <w:sig w:usb0="A00002EF" w:usb1="4000204B" w:usb2="00000000" w:usb3="00000000" w:csb0="2000019F" w:csb1="00000000"/>
  </w:font>
  <w:font w:name="Sitka Heading">
    <w:panose1 w:val="02000505000000020004"/>
    <w:charset w:val="00"/>
    <w:family w:val="auto"/>
    <w:pitch w:val="default"/>
    <w:sig w:usb0="A00002EF" w:usb1="4000204B" w:usb2="00000000" w:usb3="00000000" w:csb0="2000019F" w:csb1="00000000"/>
  </w:font>
  <w:font w:name="Sitka Subheading">
    <w:panose1 w:val="02000505000000020004"/>
    <w:charset w:val="00"/>
    <w:family w:val="auto"/>
    <w:pitch w:val="default"/>
    <w:sig w:usb0="A00002EF" w:usb1="4000204B" w:usb2="00000000" w:usb3="00000000" w:csb0="2000019F" w:csb1="00000000"/>
  </w:font>
  <w:font w:name="Script MT Bold">
    <w:panose1 w:val="03040602040607080904"/>
    <w:charset w:val="00"/>
    <w:family w:val="auto"/>
    <w:pitch w:val="default"/>
    <w:sig w:usb0="00000003" w:usb1="00000000" w:usb2="00000000" w:usb3="00000000" w:csb0="20000001" w:csb1="00000000"/>
  </w:font>
  <w:font w:name="Segoe Script">
    <w:panose1 w:val="030B0504020000000003"/>
    <w:charset w:val="00"/>
    <w:family w:val="auto"/>
    <w:pitch w:val="default"/>
    <w:sig w:usb0="0000028F" w:usb1="00000000" w:usb2="00000000" w:usb3="00000000" w:csb0="0000009F" w:csb1="00000000"/>
  </w:font>
  <w:font w:name="Sitka Display">
    <w:panose1 w:val="02000505000000020004"/>
    <w:charset w:val="00"/>
    <w:family w:val="auto"/>
    <w:pitch w:val="default"/>
    <w:sig w:usb0="A00002EF" w:usb1="4000204B" w:usb2="00000000" w:usb3="00000000" w:csb0="2000019F" w:csb1="00000000"/>
  </w:font>
  <w:font w:name="Sylfaen">
    <w:panose1 w:val="010A0502050306030303"/>
    <w:charset w:val="00"/>
    <w:family w:val="auto"/>
    <w:pitch w:val="default"/>
    <w:sig w:usb0="04000687" w:usb1="00000000" w:usb2="00000000" w:usb3="00000000" w:csb0="2000009F" w:csb1="00000000"/>
  </w:font>
  <w:font w:name="Stencil">
    <w:panose1 w:val="040409050D0802020404"/>
    <w:charset w:val="00"/>
    <w:family w:val="auto"/>
    <w:pitch w:val="default"/>
    <w:sig w:usb0="00000003" w:usb1="00000000" w:usb2="00000000" w:usb3="00000000" w:csb0="2000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displayBackgroundShape w:val="1"/>
  <w:embedTrueTypeFonts/>
  <w:saveSubset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A1033"/>
    <w:rsid w:val="006C1822"/>
    <w:rsid w:val="00970260"/>
    <w:rsid w:val="00A55E00"/>
    <w:rsid w:val="00FA1033"/>
    <w:rsid w:val="00FD746E"/>
    <w:rsid w:val="16263DB3"/>
    <w:rsid w:val="27CB0A80"/>
    <w:rsid w:val="310D40F6"/>
    <w:rsid w:val="3FEC556C"/>
    <w:rsid w:val="5EEF25DC"/>
    <w:rsid w:val="5F802CBB"/>
    <w:rsid w:val="7075370E"/>
    <w:rsid w:val="77BC6EF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name="header"/>
    <w:lsdException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semiHidden="0"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4">
    <w:name w:val="Default Paragraph Font"/>
    <w:semiHidden/>
    <w:unhideWhenUsed/>
    <w:qFormat/>
    <w:uiPriority w:val="1"/>
  </w:style>
  <w:style w:type="table" w:default="1" w:styleId="3">
    <w:name w:val="Normal Table"/>
    <w:semiHidden/>
    <w:unhideWhenUsed/>
    <w:qFormat/>
    <w:uiPriority w:val="99"/>
    <w:tblPr>
      <w:tblCellMar>
        <w:top w:w="0" w:type="dxa"/>
        <w:left w:w="108" w:type="dxa"/>
        <w:bottom w:w="0" w:type="dxa"/>
        <w:right w:w="108" w:type="dxa"/>
      </w:tblCellMar>
    </w:tblPr>
  </w:style>
  <w:style w:type="paragraph" w:styleId="2">
    <w:name w:val="Body Text"/>
    <w:basedOn w:val="1"/>
    <w:link w:val="5"/>
    <w:unhideWhenUsed/>
    <w:uiPriority w:val="99"/>
    <w:pPr>
      <w:spacing w:before="100" w:beforeAutospacing="1" w:after="120"/>
    </w:pPr>
    <w:rPr>
      <w:rFonts w:ascii="Times New Roman" w:hAnsi="Times New Roman" w:eastAsia="宋体" w:cs="Times New Roman"/>
      <w:szCs w:val="21"/>
    </w:rPr>
  </w:style>
  <w:style w:type="character" w:customStyle="1" w:styleId="5">
    <w:name w:val="正文文本 Char"/>
    <w:basedOn w:val="4"/>
    <w:link w:val="2"/>
    <w:uiPriority w:val="99"/>
    <w:rPr>
      <w:rFonts w:ascii="Times New Roman" w:hAnsi="Times New Roman" w:eastAsia="宋体" w:cs="Times New Roman"/>
      <w:szCs w:val="21"/>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Company>微软中国</Company>
  <Pages>1</Pages>
  <Words>359</Words>
  <Characters>389</Characters>
  <Lines>2</Lines>
  <Paragraphs>1</Paragraphs>
  <TotalTime>7</TotalTime>
  <ScaleCrop>false</ScaleCrop>
  <LinksUpToDate>false</LinksUpToDate>
  <CharactersWithSpaces>452</CharactersWithSpaces>
  <Application>WPS Office_12.1.0.19770_F1E327BC-269C-435d-A152-05C5408002CA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2024-12-31T08:28:00Z</dcterms:created>
  <dc:creator>微软用户</dc:creator>
  <cp:lastModifiedBy>lips</cp:lastModifiedBy>
  <dcterms:modified xsi:type="dcterms:W3CDTF">2025-03-03T02:55:49Z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2052-12.1.0.19770</vt:lpwstr>
  </property>
  <property fmtid="{D5CDD505-2E9C-101B-9397-08002B2CF9AE}" pid="3" name="ICV">
    <vt:lpwstr>2B9A1B1C234A4F9EBFF69F72391D25FF_13</vt:lpwstr>
  </property>
  <property fmtid="{D5CDD505-2E9C-101B-9397-08002B2CF9AE}" pid="4" name="KSOTemplateDocerSaveRecord">
    <vt:lpwstr>eyJoZGlkIjoiMDdjYzY1YjA5MjM4ZWI5ZWY0MWFiYjFiNzE2MmJhYTAiLCJ1c2VySWQiOiIyNDI1MTUzNTYifQ==</vt:lpwstr>
  </property>
</Properties>
</file>