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中心-YC2022-040　　　　　　　　　　</w:t>
      </w:r>
    </w:p>
    <w:p>
      <w:pPr>
        <w:rPr>
          <w:rFonts w:hint="eastAsia" w:ascii="仿宋" w:hAnsi="仿宋" w:eastAsia="仿宋"/>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宜春幼儿师范高等专科学校艺术中心（大剧院）</w:t>
      </w:r>
    </w:p>
    <w:p>
      <w:pPr>
        <w:rPr>
          <w:rFonts w:ascii="黑体" w:hAnsi="黑体" w:eastAsia="黑体"/>
          <w:sz w:val="28"/>
          <w:szCs w:val="28"/>
          <w:u w:val="single"/>
        </w:rPr>
      </w:pPr>
      <w:r>
        <w:rPr>
          <w:rFonts w:hint="eastAsia" w:ascii="仿宋" w:hAnsi="仿宋" w:eastAsia="仿宋"/>
          <w:sz w:val="28"/>
          <w:szCs w:val="28"/>
          <w:u w:val="single"/>
        </w:rPr>
        <w:t>设备采购项目</w:t>
      </w:r>
      <w:bookmarkStart w:id="2" w:name="_GoBack"/>
      <w:bookmarkEnd w:id="2"/>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宜春幼儿师范高等专科学校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宜春市袁州区锦绣大道1699号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本机关在对“宜春幼儿师范高等专科学校艺术中心（大剧院）设备采购项目（项目编号：中心-YC2022-040)”监督检查中发现，河南东邦建设工程有限公司投标文件中《关于资格的声明</w:t>
      </w:r>
      <w:r>
        <w:rPr>
          <w:rFonts w:hint="eastAsia" w:ascii="仿宋" w:hAnsi="仿宋" w:eastAsia="仿宋" w:cs="仿宋"/>
          <w:sz w:val="28"/>
          <w:szCs w:val="28"/>
          <w:u w:val="none"/>
          <w:lang w:val="en-US" w:eastAsia="zh-CN"/>
        </w:rPr>
        <w:t>函</w:t>
      </w:r>
      <w:r>
        <w:rPr>
          <w:rFonts w:hint="eastAsia" w:ascii="仿宋" w:hAnsi="仿宋" w:eastAsia="仿宋" w:cs="仿宋"/>
          <w:sz w:val="28"/>
          <w:szCs w:val="28"/>
          <w:u w:val="none"/>
        </w:rPr>
        <w:t>》(以下简称《声明函》），表述为“江西硒泉建设有限公司对宜春市宜春幼儿师范高等专科学校艺术中心（大剧院）</w:t>
      </w:r>
      <w:r>
        <w:rPr>
          <w:rFonts w:hint="eastAsia" w:ascii="仿宋" w:hAnsi="仿宋" w:eastAsia="仿宋" w:cs="仿宋"/>
          <w:sz w:val="28"/>
          <w:szCs w:val="28"/>
          <w:u w:val="none"/>
          <w:lang w:val="en-US" w:eastAsia="zh-CN"/>
        </w:rPr>
        <w:t>设备</w:t>
      </w:r>
      <w:r>
        <w:rPr>
          <w:rFonts w:hint="eastAsia" w:ascii="仿宋" w:hAnsi="仿宋" w:eastAsia="仿宋" w:cs="仿宋"/>
          <w:sz w:val="28"/>
          <w:szCs w:val="28"/>
          <w:u w:val="none"/>
        </w:rPr>
        <w:t>采购项目（项目编号：中心-YC2022-040）进行投标，在此声明，投标文件中所有关于投标人资格的文件材料</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证明、陈达均是真实、准确的。”落款投标人（盖章</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为“河南东邦建设工程有限公司”</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法定代表人或委托代理人</w:t>
      </w:r>
      <w:r>
        <w:rPr>
          <w:rFonts w:hint="eastAsia" w:ascii="仿宋" w:hAnsi="仿宋" w:eastAsia="仿宋" w:cs="仿宋"/>
          <w:sz w:val="28"/>
          <w:szCs w:val="28"/>
          <w:u w:val="none"/>
          <w:lang w:val="en-US" w:eastAsia="zh-CN"/>
        </w:rPr>
        <w:t>盖章</w:t>
      </w:r>
      <w:r>
        <w:rPr>
          <w:rFonts w:hint="eastAsia" w:ascii="仿宋" w:hAnsi="仿宋" w:eastAsia="仿宋" w:cs="仿宋"/>
          <w:sz w:val="28"/>
          <w:szCs w:val="28"/>
          <w:u w:val="none"/>
        </w:rPr>
        <w:t>为“</w:t>
      </w:r>
      <w:r>
        <w:rPr>
          <w:rFonts w:hint="eastAsia" w:ascii="仿宋" w:hAnsi="仿宋" w:eastAsia="仿宋" w:cs="仿宋"/>
          <w:sz w:val="28"/>
          <w:szCs w:val="28"/>
          <w:u w:val="none"/>
          <w:lang w:val="en-US" w:eastAsia="zh-CN"/>
        </w:rPr>
        <w:t>刘</w:t>
      </w:r>
      <w:r>
        <w:rPr>
          <w:rFonts w:hint="eastAsia" w:ascii="仿宋" w:hAnsi="仿宋" w:eastAsia="仿宋" w:cs="仿宋"/>
          <w:sz w:val="28"/>
          <w:szCs w:val="28"/>
          <w:u w:val="none"/>
        </w:rPr>
        <w:t>松阳”</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落款时间2022年10月11日。陈述主体为“江西硒泉建设有限公司”与投标人“河南东邦建设工程有限公司”不相符。经审查参与投标的供应商名单，河南东邦建设工程有限公司、江西硒泉建设有限公司均递交投标文件，实际参加该项目投标。</w:t>
      </w:r>
    </w:p>
    <w:p>
      <w:pPr>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鉴于在本项目招标采购活动中，已出现影响采购公正的违法、违规行为，根据政府采购法第三十六条，在招标采购中，出现下列情形之一的，应予废标：（二）出现影响采购公正的违法、违规行为的。本机关决定责令该项目废标。</w:t>
      </w: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rPr>
          <w:sz w:val="28"/>
          <w:szCs w:val="28"/>
        </w:rPr>
      </w:pPr>
    </w:p>
    <w:p>
      <w:pPr>
        <w:rPr>
          <w:sz w:val="28"/>
          <w:szCs w:val="28"/>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rPr>
          <w:rFonts w:ascii="仿宋" w:hAnsi="仿宋" w:eastAsia="仿宋"/>
          <w:sz w:val="28"/>
          <w:szCs w:val="28"/>
        </w:rPr>
      </w:pP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w:t>
      </w:r>
    </w:p>
    <w:p>
      <w:pPr>
        <w:widowControl/>
        <w:ind w:right="300"/>
        <w:jc w:val="right"/>
        <w:rPr>
          <w:rFonts w:ascii="仿宋" w:hAnsi="仿宋" w:eastAsia="仿宋"/>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56A069BA"/>
    <w:rsid w:val="60964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1237</Words>
  <Characters>1315</Characters>
  <Lines>57</Lines>
  <Paragraphs>16</Paragraphs>
  <TotalTime>36</TotalTime>
  <ScaleCrop>false</ScaleCrop>
  <LinksUpToDate>false</LinksUpToDate>
  <CharactersWithSpaces>1401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2023-01-12T08:12:23Z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638BF5BC3CA44AC9AA64F40B1EA98641</vt:lpwstr>
  </property>
</Properties>
</file>