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方正小标宋简体" w:eastAsia="方正小标宋简体" w:hAnsiTheme="majorEastAsia" w:cstheme="majorEastAsia"/>
          <w:color w:val="333333"/>
          <w:sz w:val="44"/>
          <w:szCs w:val="44"/>
          <w:shd w:val="clear" w:color="auto" w:fill="FFFFFF"/>
          <w:lang w:val="en-US" w:eastAsia="zh-CN"/>
        </w:rPr>
      </w:pPr>
      <w:r>
        <w:rPr>
          <w:rFonts w:hint="eastAsia" w:ascii="方正小标宋简体" w:eastAsia="方正小标宋简体" w:hAnsiTheme="majorEastAsia" w:cstheme="majorEastAsia"/>
          <w:bCs/>
          <w:kern w:val="0"/>
          <w:sz w:val="44"/>
          <w:szCs w:val="44"/>
          <w:shd w:val="clear" w:color="auto" w:fill="FFFFFF"/>
          <w:lang w:val="en-US" w:eastAsia="zh-CN"/>
        </w:rPr>
        <w:t>监督检查处理结果公告</w:t>
      </w:r>
    </w:p>
    <w:p>
      <w:pPr>
        <w:widowControl/>
        <w:shd w:val="clear" w:color="auto" w:fill="FFFFFF"/>
        <w:spacing w:line="560" w:lineRule="exact"/>
        <w:ind w:left="840" w:leftChars="400" w:firstLine="1100" w:firstLineChars="250"/>
        <w:rPr>
          <w:rFonts w:ascii="方正小标宋简体" w:eastAsia="方正小标宋简体" w:hAnsiTheme="majorEastAsia" w:cstheme="majorEastAsia"/>
          <w:color w:val="333333"/>
          <w:sz w:val="44"/>
          <w:szCs w:val="44"/>
          <w:shd w:val="clear" w:color="auto" w:fill="FFFFFF"/>
        </w:rPr>
      </w:pPr>
    </w:p>
    <w:p>
      <w:pPr>
        <w:pStyle w:val="2"/>
        <w:widowControl/>
        <w:numPr>
          <w:ilvl w:val="0"/>
          <w:numId w:val="0"/>
        </w:numPr>
        <w:shd w:val="clear" w:color="auto" w:fill="FFFFFF"/>
        <w:spacing w:beforeAutospacing="0" w:afterAutospacing="0" w:line="560" w:lineRule="exact"/>
        <w:jc w:val="both"/>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一、项目编号</w:t>
      </w:r>
    </w:p>
    <w:p>
      <w:pPr>
        <w:rPr>
          <w:rFonts w:hint="eastAsia" w:ascii="仿宋_GB2312" w:hAnsi="仿宋" w:eastAsia="仿宋_GB2312" w:cs="仿宋"/>
          <w:bCs/>
          <w:color w:val="000000"/>
          <w:kern w:val="2"/>
          <w:sz w:val="32"/>
          <w:szCs w:val="32"/>
          <w:shd w:val="clear" w:color="auto" w:fill="FFFFFF"/>
        </w:rPr>
      </w:pPr>
      <w:r>
        <w:rPr>
          <w:rFonts w:hint="eastAsia" w:ascii="仿宋_GB2312" w:hAnsi="仿宋" w:eastAsia="仿宋_GB2312" w:cs="仿宋"/>
          <w:bCs/>
          <w:color w:val="000000"/>
          <w:kern w:val="2"/>
          <w:sz w:val="32"/>
          <w:szCs w:val="32"/>
          <w:shd w:val="clear" w:color="auto" w:fill="FFFFFF"/>
        </w:rPr>
        <w:t>建兴安福政采字【2022】2号</w:t>
      </w:r>
      <w:r>
        <w:rPr>
          <w:rFonts w:hint="eastAsia" w:ascii="仿宋_GB2312" w:hAnsi="仿宋" w:eastAsia="仿宋_GB2312" w:cs="仿宋"/>
          <w:bCs/>
          <w:color w:val="000000"/>
          <w:kern w:val="2"/>
          <w:sz w:val="32"/>
          <w:szCs w:val="32"/>
          <w:shd w:val="clear" w:color="auto" w:fill="FFFFFF"/>
          <w:lang w:eastAsia="zh-CN"/>
        </w:rPr>
        <w:t>、</w:t>
      </w:r>
      <w:r>
        <w:rPr>
          <w:rFonts w:hint="eastAsia" w:ascii="仿宋_GB2312" w:hAnsi="仿宋" w:eastAsia="仿宋_GB2312" w:cs="仿宋"/>
          <w:bCs/>
          <w:color w:val="000000"/>
          <w:kern w:val="2"/>
          <w:sz w:val="32"/>
          <w:szCs w:val="32"/>
          <w:shd w:val="clear" w:color="auto" w:fill="FFFFFF"/>
        </w:rPr>
        <w:t>建兴安福政采字【2021】3号</w:t>
      </w:r>
    </w:p>
    <w:p>
      <w:pPr>
        <w:pStyle w:val="2"/>
        <w:widowControl/>
        <w:numPr>
          <w:ilvl w:val="0"/>
          <w:numId w:val="0"/>
        </w:numPr>
        <w:shd w:val="clear" w:color="auto" w:fill="FFFFFF"/>
        <w:tabs>
          <w:tab w:val="left" w:pos="583"/>
        </w:tabs>
        <w:spacing w:beforeAutospacing="0" w:afterAutospacing="0" w:line="560" w:lineRule="exact"/>
        <w:jc w:val="both"/>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二、项目名称</w:t>
      </w:r>
    </w:p>
    <w:p>
      <w:pPr>
        <w:rPr>
          <w:rFonts w:hint="eastAsia" w:ascii="仿宋_GB2312" w:hAnsi="仿宋" w:eastAsia="仿宋_GB2312" w:cs="仿宋"/>
          <w:bCs/>
          <w:color w:val="000000"/>
          <w:kern w:val="2"/>
          <w:sz w:val="32"/>
          <w:szCs w:val="32"/>
          <w:shd w:val="clear" w:color="auto" w:fill="FFFFFF"/>
        </w:rPr>
      </w:pPr>
      <w:r>
        <w:rPr>
          <w:rFonts w:hint="eastAsia" w:ascii="仿宋_GB2312" w:hAnsi="仿宋" w:eastAsia="仿宋_GB2312" w:cs="仿宋"/>
          <w:bCs/>
          <w:color w:val="000000"/>
          <w:kern w:val="2"/>
          <w:sz w:val="32"/>
          <w:szCs w:val="32"/>
          <w:shd w:val="clear" w:color="auto" w:fill="FFFFFF"/>
        </w:rPr>
        <w:t>安福县2022年水利工程（水库）调度规程编制技术服务采购项目</w:t>
      </w:r>
      <w:r>
        <w:rPr>
          <w:rFonts w:hint="eastAsia" w:ascii="仿宋_GB2312" w:hAnsi="仿宋" w:eastAsia="仿宋_GB2312" w:cs="仿宋"/>
          <w:bCs/>
          <w:color w:val="000000"/>
          <w:kern w:val="2"/>
          <w:sz w:val="32"/>
          <w:szCs w:val="32"/>
          <w:shd w:val="clear" w:color="auto" w:fill="FFFFFF"/>
          <w:lang w:eastAsia="zh-CN"/>
        </w:rPr>
        <w:t>、</w:t>
      </w:r>
      <w:r>
        <w:rPr>
          <w:rFonts w:hint="eastAsia" w:ascii="仿宋_GB2312" w:hAnsi="仿宋" w:eastAsia="仿宋_GB2312" w:cs="仿宋"/>
          <w:bCs/>
          <w:color w:val="000000"/>
          <w:kern w:val="2"/>
          <w:sz w:val="32"/>
          <w:szCs w:val="32"/>
          <w:shd w:val="clear" w:color="auto" w:fill="FFFFFF"/>
        </w:rPr>
        <w:t>安福县水利信息中心综合管理平台建设采购项目</w:t>
      </w:r>
    </w:p>
    <w:p>
      <w:pPr>
        <w:pStyle w:val="2"/>
        <w:widowControl/>
        <w:numPr>
          <w:ilvl w:val="0"/>
          <w:numId w:val="0"/>
        </w:numPr>
        <w:shd w:val="clear" w:color="auto" w:fill="FFFFFF"/>
        <w:spacing w:beforeAutospacing="0" w:afterAutospacing="0" w:line="560" w:lineRule="exact"/>
        <w:jc w:val="both"/>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三、相关当事人</w:t>
      </w:r>
    </w:p>
    <w:p>
      <w:pPr>
        <w:pStyle w:val="2"/>
        <w:widowControl/>
        <w:shd w:val="clear" w:color="auto" w:fill="FFFFFF"/>
        <w:spacing w:beforeAutospacing="0" w:afterAutospacing="0" w:line="560" w:lineRule="exact"/>
        <w:jc w:val="both"/>
        <w:rPr>
          <w:rFonts w:ascii="仿宋_GB2312" w:hAnsi="仿宋" w:eastAsia="仿宋_GB2312" w:cs="仿宋"/>
          <w:bCs/>
          <w:color w:val="000000"/>
          <w:kern w:val="2"/>
          <w:sz w:val="32"/>
          <w:szCs w:val="32"/>
          <w:shd w:val="clear" w:color="auto" w:fill="FFFFFF"/>
        </w:rPr>
      </w:pPr>
      <w:r>
        <w:rPr>
          <w:rFonts w:hint="eastAsia" w:ascii="仿宋_GB2312" w:hAnsi="仿宋" w:eastAsia="仿宋_GB2312" w:cs="仿宋"/>
          <w:bCs/>
          <w:color w:val="000000"/>
          <w:kern w:val="2"/>
          <w:sz w:val="32"/>
          <w:szCs w:val="32"/>
          <w:shd w:val="clear" w:color="auto" w:fill="FFFFFF"/>
        </w:rPr>
        <w:t>当 事 人: 安福县水利局</w:t>
      </w:r>
    </w:p>
    <w:p>
      <w:pPr>
        <w:pStyle w:val="2"/>
        <w:widowControl/>
        <w:shd w:val="clear" w:color="auto" w:fill="FFFFFF"/>
        <w:spacing w:beforeAutospacing="0" w:afterAutospacing="0" w:line="560" w:lineRule="exact"/>
        <w:jc w:val="both"/>
        <w:rPr>
          <w:rFonts w:hint="eastAsia" w:ascii="仿宋_GB2312" w:hAnsi="仿宋" w:eastAsia="仿宋_GB2312" w:cs="仿宋"/>
          <w:bCs/>
          <w:color w:val="000000"/>
          <w:kern w:val="2"/>
          <w:sz w:val="32"/>
          <w:szCs w:val="32"/>
          <w:shd w:val="clear" w:color="auto" w:fill="FFFFFF"/>
        </w:rPr>
      </w:pPr>
      <w:r>
        <w:rPr>
          <w:rFonts w:hint="eastAsia" w:ascii="仿宋_GB2312" w:hAnsi="仿宋" w:eastAsia="仿宋_GB2312" w:cs="仿宋"/>
          <w:bCs/>
          <w:color w:val="000000"/>
          <w:kern w:val="2"/>
          <w:sz w:val="32"/>
          <w:szCs w:val="32"/>
          <w:shd w:val="clear" w:color="auto" w:fill="FFFFFF"/>
        </w:rPr>
        <w:t>联系地址：安福县泸水河大道</w:t>
      </w:r>
    </w:p>
    <w:p>
      <w:pPr>
        <w:pStyle w:val="2"/>
        <w:widowControl/>
        <w:numPr>
          <w:ilvl w:val="0"/>
          <w:numId w:val="0"/>
        </w:numPr>
        <w:shd w:val="clear" w:color="auto" w:fill="FFFFFF"/>
        <w:spacing w:beforeAutospacing="0" w:afterAutospacing="0" w:line="560" w:lineRule="exact"/>
        <w:jc w:val="both"/>
        <w:rPr>
          <w:rFonts w:hint="default"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四、基本情况</w:t>
      </w:r>
    </w:p>
    <w:p>
      <w:pPr>
        <w:pStyle w:val="2"/>
        <w:widowControl/>
        <w:shd w:val="clear" w:color="auto" w:fill="FFFFFF"/>
        <w:spacing w:beforeAutospacing="0" w:afterAutospacing="0" w:line="560" w:lineRule="exact"/>
        <w:ind w:firstLine="640" w:firstLineChars="200"/>
        <w:jc w:val="both"/>
        <w:rPr>
          <w:rFonts w:ascii="仿宋_GB2312" w:hAnsi="仿宋" w:eastAsia="仿宋_GB2312" w:cs="仿宋"/>
          <w:bCs/>
          <w:color w:val="000000"/>
          <w:kern w:val="2"/>
          <w:sz w:val="32"/>
          <w:szCs w:val="32"/>
          <w:shd w:val="clear" w:color="auto" w:fill="FFFFFF"/>
        </w:rPr>
      </w:pPr>
      <w:r>
        <w:rPr>
          <w:rFonts w:hint="eastAsia" w:ascii="仿宋_GB2312" w:hAnsi="宋体" w:eastAsia="仿宋_GB2312"/>
          <w:color w:val="000000"/>
          <w:sz w:val="32"/>
          <w:szCs w:val="32"/>
        </w:rPr>
        <w:t>根据《吉安市财政局 吉安市公安局 吉安市市场监督管理局关于开展2023年政府采购领域“四类”违法违规行为专项整治工作的通知》（吉财购〔2023〕34号）</w:t>
      </w:r>
      <w:r>
        <w:rPr>
          <w:rFonts w:hint="eastAsia" w:ascii="仿宋_GB2312" w:hAnsi="楷体_GB2312" w:eastAsia="仿宋_GB2312" w:cs="楷体_GB2312"/>
          <w:sz w:val="32"/>
          <w:szCs w:val="32"/>
        </w:rPr>
        <w:t>文件布署，</w:t>
      </w:r>
      <w:r>
        <w:rPr>
          <w:rFonts w:hint="eastAsia" w:ascii="仿宋_GB2312" w:hAnsi="仿宋" w:eastAsia="仿宋_GB2312" w:cs="仿宋"/>
          <w:bCs/>
          <w:color w:val="000000"/>
          <w:kern w:val="2"/>
          <w:sz w:val="32"/>
          <w:szCs w:val="32"/>
          <w:shd w:val="clear" w:color="auto" w:fill="FFFFFF"/>
        </w:rPr>
        <w:t>检查组对你单位的安福县2022年水利工程（水库）调度规程编制技术服务采购项目（项目编号: 建兴安福政采字【2022】2号）、安福县水利信息中心综合管理平台建设采购项目（项目编号: 建兴安福政采字【2021】3号）进行了检查，发现存在以下问题：</w:t>
      </w:r>
    </w:p>
    <w:p>
      <w:pPr>
        <w:spacing w:line="560" w:lineRule="exact"/>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（一）安福县2022年水利工程（水库）调度规程编制技术服务采购项目（项目编号: 建兴安福政采字【2022】2号）</w:t>
      </w:r>
    </w:p>
    <w:p>
      <w:pPr>
        <w:spacing w:line="560" w:lineRule="exact"/>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1.技术部分中“投标人须针对本项目提供技术方案可行性及合理性(20 分)①技术方案；②质量保证措施；③进度保证措施；④可预见实施难度应对办法等，理解精准、方案科学合理、措施切实可行，每项得5分，理解精准、方案合理、措施可行的得3分，理解精准、方案合理、措施基本可行的得2分，未提供不得分，最高得20分，评分标准未细化量化，违反《政府采购货物和服务招标投标管理办法》第五十五条。</w:t>
      </w:r>
    </w:p>
    <w:p>
      <w:pPr>
        <w:spacing w:line="560" w:lineRule="exact"/>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2.商务部分“人员配备②、拟派本项目组人员具有移民工程师职称</w:t>
      </w:r>
      <w:r>
        <w:rPr>
          <w:rFonts w:ascii="仿宋_GB2312" w:hAnsi="仿宋" w:eastAsia="仿宋_GB2312" w:cs="仿宋"/>
          <w:bCs/>
          <w:color w:val="000000"/>
          <w:sz w:val="32"/>
          <w:szCs w:val="32"/>
          <w:shd w:val="clear" w:color="auto" w:fill="FFFFFF"/>
        </w:rPr>
        <w:t>……</w:t>
      </w:r>
      <w:r>
        <w:rPr>
          <w:rFonts w:hint="eastAsia" w:ascii="仿宋_GB2312" w:hAnsi="仿宋" w:eastAsia="仿宋_GB2312" w:cs="仿宋"/>
          <w:bCs/>
          <w:color w:val="000000"/>
          <w:sz w:val="32"/>
          <w:szCs w:val="32"/>
          <w:shd w:val="clear" w:color="auto" w:fill="FFFFFF"/>
        </w:rPr>
        <w:t>具有高级职称的得3分，最高得12分”。存在设置与采购项目的具体特点和实际需要不相适应的问题。违反《中华人民共和国政府采购法实施条例》第二十条。</w:t>
      </w:r>
    </w:p>
    <w:p>
      <w:pPr>
        <w:spacing w:line="560" w:lineRule="exact"/>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3.人员配备中“以上人员提供证书复印件加盖公章及开标截止时间前一年内连续6个月投标单位为其缴纳的养老保险参保证明复印件加盖公章编人响应文件中，未提供或提供不全的不得分。”存在对企业成立年限不合理要求直接或变相限制或排斥中小企业的问题。违反《政府采购促进中小企业发展管理办法》相关条例。</w:t>
      </w:r>
    </w:p>
    <w:p>
      <w:pPr>
        <w:spacing w:line="560" w:lineRule="exact"/>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（二）安福县水利信息中心综合管理平台建设采购项目（项目编号: 建兴安福政采字【2021】3号）</w:t>
      </w:r>
    </w:p>
    <w:p>
      <w:pPr>
        <w:spacing w:line="560" w:lineRule="exact"/>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1.技术方案中评审专家对技术方案的完整性、合理性、科学性、可行性等方面进行综合评判，并对每个小项分为优秀和一般两档缺项不得分，本项最高得10分。进行评分，优秀的每小项得1分，一般的每小项得0.5，评分标准未细化量化。违反《政府采购货物和服务招标投标管理办法》第五十五条。</w:t>
      </w:r>
    </w:p>
    <w:p>
      <w:pPr>
        <w:spacing w:line="560" w:lineRule="exact"/>
        <w:ind w:firstLine="640" w:firstLineChars="2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2．商务部分类似业绩投标人提供2019年以来类似项目业绩，规模达到 200万以下的每提供一个得1分，规模达到200万以上的每提供一个得1.5分，最多提供两个业绩，本项最高得3分。变相设置特定业绩、与上述规模条件存在直接关联的第三方信用评价、认证等不合理条件，存在对企业规模的不合理要求直接或变相限制排中小企业的问题。(财政部令第87号第17条)。违反《政府采购货物和服务招标投标管理办法》第十七条。</w:t>
      </w:r>
    </w:p>
    <w:p>
      <w:pPr>
        <w:spacing w:line="560" w:lineRule="exact"/>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五、处理依据及结果</w:t>
      </w:r>
    </w:p>
    <w:p>
      <w:pPr>
        <w:pStyle w:val="2"/>
        <w:widowControl/>
        <w:shd w:val="clear" w:color="auto" w:fill="FFFFFF"/>
        <w:spacing w:beforeAutospacing="0" w:afterAutospacing="0" w:line="560" w:lineRule="exact"/>
        <w:ind w:firstLine="640" w:firstLineChars="200"/>
        <w:jc w:val="both"/>
        <w:rPr>
          <w:rFonts w:hint="eastAsia" w:ascii="仿宋_GB2312" w:hAnsi="仿宋" w:eastAsia="仿宋_GB2312" w:cs="仿宋"/>
          <w:bCs/>
          <w:color w:val="000000"/>
          <w:sz w:val="32"/>
          <w:szCs w:val="32"/>
          <w:shd w:val="clear" w:color="auto" w:fill="FFFFFF"/>
        </w:rPr>
      </w:pPr>
      <w:r>
        <w:rPr>
          <w:rFonts w:hint="eastAsia" w:ascii="仿宋_GB2312" w:hAnsi="仿宋_GB2312" w:eastAsia="仿宋_GB2312" w:cs="仿宋_GB2312"/>
          <w:color w:val="000000"/>
          <w:sz w:val="32"/>
          <w:szCs w:val="32"/>
        </w:rPr>
        <w:t>根据《中华人民共和国采购法》第71条、第71条第3款、第78条，</w:t>
      </w:r>
      <w:r>
        <w:rPr>
          <w:rFonts w:hint="eastAsia" w:ascii="仿宋_GB2312" w:hAnsi="仿宋" w:eastAsia="仿宋_GB2312" w:cs="仿宋"/>
          <w:bCs/>
          <w:color w:val="000000"/>
          <w:sz w:val="32"/>
          <w:szCs w:val="32"/>
          <w:shd w:val="clear" w:color="auto" w:fill="FFFFFF"/>
        </w:rPr>
        <w:t>《中华人民共和国政府采购法实施条例》第66条、第68条第7款，</w:t>
      </w:r>
      <w:r>
        <w:rPr>
          <w:rFonts w:hint="eastAsia" w:ascii="仿宋_GB2312" w:hAnsi="仿宋" w:eastAsia="仿宋_GB2312" w:cs="仿宋"/>
          <w:color w:val="000000"/>
          <w:sz w:val="32"/>
          <w:szCs w:val="32"/>
        </w:rPr>
        <w:t>我局对你公司拟作出以下处理决定：</w:t>
      </w:r>
      <w:r>
        <w:rPr>
          <w:rFonts w:hint="eastAsia" w:ascii="仿宋_GB2312" w:hAnsi="仿宋" w:eastAsia="仿宋_GB2312" w:cs="仿宋"/>
          <w:bCs/>
          <w:color w:val="000000"/>
          <w:sz w:val="32"/>
          <w:szCs w:val="32"/>
          <w:shd w:val="clear" w:color="auto" w:fill="FFFFFF"/>
        </w:rPr>
        <w:t>责令限期改正、给予警告。</w:t>
      </w:r>
    </w:p>
    <w:p>
      <w:pPr>
        <w:spacing w:line="560" w:lineRule="exact"/>
        <w:rPr>
          <w:rFonts w:hint="default" w:ascii="黑体" w:hAnsi="黑体" w:eastAsia="黑体" w:cs="黑体"/>
          <w:sz w:val="32"/>
          <w:szCs w:val="32"/>
          <w:lang w:val="en-US" w:eastAsia="zh-CN"/>
        </w:rPr>
      </w:pPr>
      <w:r>
        <w:rPr>
          <w:rFonts w:hint="eastAsia" w:ascii="黑体" w:hAnsi="黑体" w:eastAsia="黑体" w:cs="黑体"/>
          <w:color w:val="000000"/>
          <w:sz w:val="32"/>
          <w:szCs w:val="32"/>
          <w:lang w:val="en-US" w:eastAsia="zh-CN"/>
        </w:rPr>
        <w:t>六、其他补充事宜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本决定送达之日起生效。如你</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不服本处罚决定，可在收到本决定书之日起60日内申请行政复议或者6个月内提起行政诉讼，复议或者诉讼期间本决定照常执行。</w:t>
      </w:r>
    </w:p>
    <w:p>
      <w:pPr>
        <w:spacing w:line="560" w:lineRule="exact"/>
        <w:rPr>
          <w:rFonts w:hint="eastAsia" w:ascii="仿宋_GB2312" w:hAnsi="仿宋" w:eastAsia="仿宋_GB2312" w:cs="仿宋"/>
          <w:bCs/>
          <w:color w:val="000000"/>
          <w:sz w:val="32"/>
          <w:szCs w:val="32"/>
          <w:shd w:val="clear" w:color="auto" w:fill="FFFFFF"/>
        </w:rPr>
      </w:pPr>
    </w:p>
    <w:p>
      <w:pPr>
        <w:spacing w:line="560" w:lineRule="exact"/>
        <w:ind w:firstLine="5760" w:firstLineChars="1800"/>
        <w:rPr>
          <w:rFonts w:hint="eastAsia" w:ascii="仿宋_GB2312" w:hAnsi="仿宋" w:eastAsia="仿宋_GB2312" w:cs="仿宋"/>
          <w:bCs/>
          <w:color w:val="000000"/>
          <w:sz w:val="32"/>
          <w:szCs w:val="32"/>
          <w:shd w:val="clear" w:color="auto" w:fill="FFFFFF"/>
        </w:rPr>
      </w:pPr>
    </w:p>
    <w:p>
      <w:pPr>
        <w:spacing w:line="560" w:lineRule="exact"/>
        <w:ind w:firstLine="5760" w:firstLineChars="1800"/>
        <w:rPr>
          <w:rFonts w:ascii="仿宋_GB2312" w:hAnsi="仿宋" w:eastAsia="仿宋_GB2312" w:cs="仿宋"/>
          <w:bCs/>
          <w:color w:val="000000"/>
          <w:sz w:val="32"/>
          <w:szCs w:val="32"/>
          <w:shd w:val="clear" w:color="auto" w:fill="FFFFFF"/>
        </w:rPr>
      </w:pPr>
      <w:r>
        <w:rPr>
          <w:rFonts w:hint="eastAsia" w:ascii="仿宋_GB2312" w:hAnsi="仿宋" w:eastAsia="仿宋_GB2312" w:cs="仿宋"/>
          <w:bCs/>
          <w:color w:val="000000"/>
          <w:sz w:val="32"/>
          <w:szCs w:val="32"/>
          <w:shd w:val="clear" w:color="auto" w:fill="FFFFFF"/>
        </w:rPr>
        <w:t xml:space="preserve">安福县财政局 </w:t>
      </w:r>
    </w:p>
    <w:p>
      <w:pPr>
        <w:ind w:firstLine="5440" w:firstLineChars="1700"/>
        <w:rPr>
          <w:rFonts w:hint="eastAsia" w:ascii="仿宋_GB2312" w:hAnsi="仿宋_GB2312" w:eastAsia="仿宋_GB2312" w:cs="仿宋_GB2312"/>
          <w:color w:val="000000"/>
          <w:sz w:val="32"/>
          <w:szCs w:val="32"/>
          <w:lang w:eastAsia="zh-CN"/>
        </w:rPr>
      </w:pPr>
      <w:r>
        <w:rPr>
          <w:rFonts w:hint="eastAsia" w:ascii="仿宋_GB2312" w:hAnsi="仿宋" w:eastAsia="仿宋_GB2312" w:cs="仿宋"/>
          <w:bCs/>
          <w:color w:val="000000"/>
          <w:sz w:val="32"/>
          <w:szCs w:val="32"/>
          <w:shd w:val="clear" w:color="auto" w:fill="FFFFFF"/>
        </w:rPr>
        <w:t xml:space="preserve"> 2024年3月5日</w:t>
      </w:r>
    </w:p>
    <w:p>
      <w:pPr>
        <w:pStyle w:val="2"/>
        <w:widowControl/>
        <w:shd w:val="clear" w:color="auto" w:fill="FFFFFF"/>
        <w:spacing w:beforeAutospacing="0" w:afterAutospacing="0" w:line="560" w:lineRule="exact"/>
        <w:ind w:firstLine="640" w:firstLineChars="200"/>
        <w:jc w:val="both"/>
        <w:rPr>
          <w:rFonts w:hint="eastAsia" w:ascii="仿宋_GB2312" w:hAnsi="仿宋" w:eastAsia="仿宋_GB2312" w:cs="仿宋"/>
          <w:bCs/>
          <w:color w:val="000000"/>
          <w:sz w:val="32"/>
          <w:szCs w:val="32"/>
          <w:shd w:val="clear" w:color="auto" w:fill="FFFFFF"/>
        </w:rPr>
      </w:pPr>
      <w:bookmarkStart w:id="0" w:name="_GoBack"/>
      <w:bookmarkEnd w:id="0"/>
    </w:p>
    <w:p>
      <w:pPr>
        <w:rPr>
          <w:rFonts w:hint="eastAsia" w:ascii="仿宋_GB2312" w:hAnsi="仿宋" w:eastAsia="仿宋_GB2312" w:cs="仿宋"/>
          <w:bCs/>
          <w:color w:val="000000"/>
          <w:kern w:val="2"/>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NzRlNDk0YWZkYTY3Y2RhMDc1NGYyNjY0OWJhNzYifQ=="/>
  </w:docVars>
  <w:rsids>
    <w:rsidRoot w:val="533176F0"/>
    <w:rsid w:val="533176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2024-04-29T01:51:00Z</dcterms:created>
  <dc:creator>自由行走的花</dc:creator>
  <cp:lastModifiedBy>自由行走的花</cp:lastModifiedBy>
  <dcterms:modified xsi:type="dcterms:W3CDTF">2024-04-29T01:54:36Z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99399BBC0836438F8F5C78D6DE3EE7C5_11</vt:lpwstr>
  </property>
</Properties>
</file>