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360" w:lineRule="auto"/>
        <w:jc w:val="left"/>
        <w:rPr>
          <w:rFonts w:hint="eastAsia" w:eastAsia="黑体"/>
          <w:b/>
          <w:szCs w:val="21"/>
        </w:rPr>
      </w:pPr>
    </w:p>
    <w:p>
      <w:pPr>
        <w:jc w:val="center"/>
        <w:rPr>
          <w:rFonts w:ascii="黑体" w:eastAsia="黑体"/>
          <w:b/>
          <w:sz w:val="52"/>
          <w:szCs w:val="52"/>
        </w:rPr>
      </w:pPr>
      <w:r>
        <w:rPr>
          <w:rFonts w:hint="eastAsia" w:ascii="黑体" w:eastAsia="黑体"/>
          <w:b/>
          <w:sz w:val="52"/>
          <w:szCs w:val="52"/>
        </w:rPr>
        <w:t>江西省公共资源电子交易服务平台</w:t>
      </w:r>
    </w:p>
    <w:p>
      <w:pPr>
        <w:jc w:val="center"/>
        <w:rPr>
          <w:rFonts w:ascii="黑体" w:eastAsia="黑体"/>
          <w:b/>
          <w:sz w:val="52"/>
          <w:szCs w:val="52"/>
        </w:rPr>
      </w:pPr>
      <w:r>
        <w:rPr>
          <w:rFonts w:hint="eastAsia" w:ascii="黑体" w:eastAsia="黑体"/>
          <w:b/>
          <w:sz w:val="52"/>
          <w:szCs w:val="52"/>
        </w:rPr>
        <w:t>政府采购子系统</w:t>
      </w:r>
    </w:p>
    <w:p>
      <w:pPr>
        <w:jc w:val="center"/>
        <w:rPr>
          <w:rFonts w:ascii="黑体" w:eastAsia="黑体"/>
          <w:b/>
          <w:sz w:val="52"/>
          <w:szCs w:val="52"/>
        </w:rPr>
      </w:pPr>
      <w:r>
        <w:rPr>
          <w:rFonts w:hint="eastAsia" w:ascii="黑体" w:eastAsia="黑体"/>
          <w:b/>
          <w:sz w:val="52"/>
          <w:szCs w:val="52"/>
          <w:lang w:val="en-US" w:eastAsia="zh-CN"/>
        </w:rPr>
        <w:t>一体化平台</w:t>
      </w:r>
      <w:r>
        <w:rPr>
          <w:rFonts w:hint="eastAsia" w:ascii="黑体" w:eastAsia="黑体"/>
          <w:b/>
          <w:sz w:val="52"/>
          <w:szCs w:val="52"/>
        </w:rPr>
        <w:t>采购单位操作手册</w:t>
      </w: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0" w:firstLineChars="0"/>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361"/>
        <w:jc w:val="left"/>
        <w:rPr>
          <w:rFonts w:ascii="宋体" w:hAnsi="宋体"/>
          <w:b/>
          <w:bCs/>
        </w:rPr>
      </w:pPr>
    </w:p>
    <w:p>
      <w:pPr>
        <w:pStyle w:val="47"/>
        <w:ind w:firstLine="0" w:firstLineChars="0"/>
        <w:jc w:val="left"/>
        <w:rPr>
          <w:rFonts w:ascii="宋体" w:hAnsi="宋体"/>
          <w:b/>
          <w:bCs/>
        </w:rPr>
      </w:pPr>
      <w:r>
        <w:rPr>
          <w:rFonts w:hint="eastAsia" w:ascii="宋体" w:hAnsi="宋体"/>
          <w:b/>
          <w:bCs/>
        </w:rPr>
        <w:t xml:space="preserve">   </w:t>
      </w:r>
    </w:p>
    <w:p>
      <w:pPr>
        <w:pStyle w:val="47"/>
        <w:ind w:firstLine="361"/>
        <w:jc w:val="left"/>
        <w:rPr>
          <w:rFonts w:ascii="宋体" w:hAnsi="宋体"/>
          <w:b/>
          <w:bCs/>
        </w:rPr>
      </w:pPr>
    </w:p>
    <w:p>
      <w:pPr>
        <w:pStyle w:val="47"/>
        <w:ind w:firstLine="361"/>
        <w:jc w:val="left"/>
        <w:rPr>
          <w:rFonts w:ascii="宋体" w:hAnsi="宋体"/>
          <w:b/>
          <w:bCs/>
        </w:rPr>
      </w:pPr>
    </w:p>
    <w:p>
      <w:pPr>
        <w:jc w:val="center"/>
        <w:rPr>
          <w:rFonts w:eastAsia="仿宋_GB2312"/>
          <w:b/>
          <w:sz w:val="28"/>
          <w:szCs w:val="28"/>
          <w:shd w:val="pct10" w:color="auto" w:fill="FFFFFF"/>
        </w:rPr>
      </w:pPr>
      <w:r>
        <w:rPr>
          <w:rFonts w:hint="eastAsia" w:eastAsia="仿宋_GB2312"/>
          <w:b/>
          <w:sz w:val="28"/>
          <w:szCs w:val="28"/>
          <w:shd w:val="pct10" w:color="auto" w:fill="FFFFFF"/>
        </w:rPr>
        <w:t>免费技术支持电话：</w:t>
      </w:r>
      <w:r>
        <w:rPr>
          <w:rFonts w:eastAsia="仿宋_GB2312"/>
          <w:b/>
          <w:sz w:val="28"/>
          <w:szCs w:val="28"/>
          <w:shd w:val="pct10" w:color="auto" w:fill="FFFFFF"/>
        </w:rPr>
        <w:t>400-998-0000</w:t>
      </w:r>
    </w:p>
    <w:p>
      <w:pPr>
        <w:spacing w:after="6240" w:afterLines="2000"/>
        <w:rPr>
          <w:b/>
        </w:rPr>
      </w:pPr>
    </w:p>
    <w:p>
      <w:pPr>
        <w:pStyle w:val="43"/>
        <w:jc w:val="center"/>
        <w:rPr>
          <w:color w:val="000000" w:themeColor="text1"/>
          <w:sz w:val="36"/>
          <w:szCs w:val="36"/>
        </w:rPr>
      </w:pPr>
      <w:r>
        <w:rPr>
          <w:color w:val="000000" w:themeColor="text1"/>
          <w:sz w:val="36"/>
          <w:szCs w:val="36"/>
          <w:lang w:val="zh-CN"/>
        </w:rPr>
        <w:t>目录</w:t>
      </w:r>
    </w:p>
    <w:p>
      <w:pPr>
        <w:pStyle w:val="22"/>
        <w:tabs>
          <w:tab w:val="right" w:leader="dot" w:pos="9026"/>
        </w:tabs>
      </w:pPr>
      <w:r>
        <w:fldChar w:fldCharType="begin"/>
      </w:r>
      <w:r>
        <w:instrText xml:space="preserve"> TOC \o "1-3" \h \z \u </w:instrText>
      </w:r>
      <w:r>
        <w:fldChar w:fldCharType="separate"/>
      </w:r>
      <w:r>
        <w:fldChar w:fldCharType="begin"/>
      </w:r>
      <w:r>
        <w:instrText xml:space="preserve"> HYPERLINK \l _Toc4886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1. </w:t>
      </w:r>
      <w:r>
        <w:rPr>
          <w:rFonts w:hint="eastAsia"/>
          <w:lang w:val="en-US" w:eastAsia="zh-CN"/>
        </w:rPr>
        <w:t>涉改单位预算编码</w:t>
      </w:r>
      <w:r>
        <w:tab/>
      </w:r>
      <w:r>
        <w:fldChar w:fldCharType="begin"/>
      </w:r>
      <w:r>
        <w:instrText xml:space="preserve"> PAGEREF _Toc4886 \h </w:instrText>
      </w:r>
      <w:r>
        <w:fldChar w:fldCharType="separate"/>
      </w:r>
      <w:r>
        <w:t>3</w:t>
      </w:r>
      <w:r>
        <w:fldChar w:fldCharType="end"/>
      </w:r>
      <w:r>
        <w:fldChar w:fldCharType="end"/>
      </w:r>
    </w:p>
    <w:p>
      <w:pPr>
        <w:pStyle w:val="25"/>
        <w:tabs>
          <w:tab w:val="right" w:leader="dot" w:pos="9026"/>
          <w:tab w:val="clear" w:pos="1260"/>
          <w:tab w:val="clear" w:pos="8302"/>
        </w:tabs>
      </w:pPr>
      <w:r>
        <w:fldChar w:fldCharType="begin"/>
      </w:r>
      <w:r>
        <w:instrText xml:space="preserve"> HYPERLINK \l _Toc14983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rPr>
        <w:t xml:space="preserve">1.1. </w:t>
      </w:r>
      <w:r>
        <w:rPr>
          <w:rFonts w:hint="eastAsia"/>
        </w:rPr>
        <w:t>完善基本信息</w:t>
      </w:r>
      <w:r>
        <w:rPr>
          <w:rFonts w:hint="eastAsia"/>
          <w:lang w:val="en-US" w:eastAsia="zh-CN"/>
        </w:rPr>
        <w:t>中涉改单位预算编码</w:t>
      </w:r>
      <w:r>
        <w:tab/>
      </w:r>
      <w:r>
        <w:fldChar w:fldCharType="begin"/>
      </w:r>
      <w:r>
        <w:instrText xml:space="preserve"> PAGEREF _Toc14983 \h </w:instrText>
      </w:r>
      <w:r>
        <w:fldChar w:fldCharType="separate"/>
      </w:r>
      <w:r>
        <w:t>3</w:t>
      </w:r>
      <w:r>
        <w:fldChar w:fldCharType="end"/>
      </w:r>
      <w:r>
        <w:fldChar w:fldCharType="end"/>
      </w:r>
    </w:p>
    <w:p>
      <w:pPr>
        <w:pStyle w:val="22"/>
        <w:tabs>
          <w:tab w:val="right" w:leader="dot" w:pos="9026"/>
        </w:tabs>
      </w:pPr>
      <w:r>
        <w:fldChar w:fldCharType="begin"/>
      </w:r>
      <w:r>
        <w:instrText xml:space="preserve"> HYPERLINK \l _Toc26645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 </w:t>
      </w:r>
      <w:r>
        <w:rPr>
          <w:rFonts w:hint="eastAsia"/>
          <w:lang w:val="en-US" w:eastAsia="zh-CN"/>
        </w:rPr>
        <w:t>电子卖场</w:t>
      </w:r>
      <w:r>
        <w:tab/>
      </w:r>
      <w:r>
        <w:fldChar w:fldCharType="begin"/>
      </w:r>
      <w:r>
        <w:instrText xml:space="preserve"> PAGEREF _Toc26645 \h </w:instrText>
      </w:r>
      <w:r>
        <w:fldChar w:fldCharType="separate"/>
      </w:r>
      <w:r>
        <w:t>4</w:t>
      </w:r>
      <w:r>
        <w:fldChar w:fldCharType="end"/>
      </w:r>
      <w:r>
        <w:fldChar w:fldCharType="end"/>
      </w:r>
    </w:p>
    <w:p>
      <w:pPr>
        <w:pStyle w:val="25"/>
        <w:tabs>
          <w:tab w:val="right" w:leader="dot" w:pos="9026"/>
          <w:tab w:val="clear" w:pos="1260"/>
          <w:tab w:val="clear" w:pos="8302"/>
        </w:tabs>
      </w:pPr>
      <w:r>
        <w:fldChar w:fldCharType="begin"/>
      </w:r>
      <w:r>
        <w:instrText xml:space="preserve"> HYPERLINK \l _Toc3577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rPr>
        <w:t xml:space="preserve">2.1. </w:t>
      </w:r>
      <w:r>
        <w:rPr>
          <w:rFonts w:hint="eastAsia"/>
          <w:lang w:val="en-US" w:eastAsia="zh-CN"/>
        </w:rPr>
        <w:t>电子卖场</w:t>
      </w:r>
      <w:r>
        <w:tab/>
      </w:r>
      <w:r>
        <w:fldChar w:fldCharType="begin"/>
      </w:r>
      <w:r>
        <w:instrText xml:space="preserve"> PAGEREF _Toc3577 \h </w:instrText>
      </w:r>
      <w:r>
        <w:fldChar w:fldCharType="separate"/>
      </w:r>
      <w:r>
        <w:t>4</w:t>
      </w:r>
      <w:r>
        <w:fldChar w:fldCharType="end"/>
      </w:r>
      <w:r>
        <w:fldChar w:fldCharType="end"/>
      </w:r>
    </w:p>
    <w:p>
      <w:pPr>
        <w:pStyle w:val="22"/>
        <w:tabs>
          <w:tab w:val="right" w:leader="dot" w:pos="9026"/>
        </w:tabs>
      </w:pPr>
      <w:r>
        <w:fldChar w:fldCharType="begin"/>
      </w:r>
      <w:r>
        <w:instrText xml:space="preserve"> HYPERLINK \l _Toc531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3. </w:t>
      </w:r>
      <w:r>
        <w:rPr>
          <w:rFonts w:hint="eastAsia"/>
          <w:lang w:val="en-US" w:eastAsia="zh-CN"/>
        </w:rPr>
        <w:t>意向公开及采购需求管理</w:t>
      </w:r>
      <w:r>
        <w:tab/>
      </w:r>
      <w:r>
        <w:fldChar w:fldCharType="begin"/>
      </w:r>
      <w:r>
        <w:instrText xml:space="preserve"> PAGEREF _Toc531 \h </w:instrText>
      </w:r>
      <w:r>
        <w:fldChar w:fldCharType="separate"/>
      </w:r>
      <w:r>
        <w:t>6</w:t>
      </w:r>
      <w:r>
        <w:fldChar w:fldCharType="end"/>
      </w:r>
      <w:r>
        <w:fldChar w:fldCharType="end"/>
      </w:r>
    </w:p>
    <w:p>
      <w:pPr>
        <w:pStyle w:val="25"/>
        <w:tabs>
          <w:tab w:val="right" w:leader="dot" w:pos="9026"/>
          <w:tab w:val="clear" w:pos="1260"/>
          <w:tab w:val="clear" w:pos="8302"/>
        </w:tabs>
      </w:pPr>
      <w:r>
        <w:fldChar w:fldCharType="begin"/>
      </w:r>
      <w:r>
        <w:instrText xml:space="preserve"> HYPERLINK \l _Toc24609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rPr>
        <w:t xml:space="preserve">3.1. </w:t>
      </w:r>
      <w:r>
        <w:rPr>
          <w:rFonts w:hint="eastAsia"/>
          <w:lang w:val="en-US" w:eastAsia="zh-CN"/>
        </w:rPr>
        <w:t>项目类型选择</w:t>
      </w:r>
      <w:r>
        <w:tab/>
      </w:r>
      <w:r>
        <w:fldChar w:fldCharType="begin"/>
      </w:r>
      <w:r>
        <w:instrText xml:space="preserve"> PAGEREF _Toc24609 \h </w:instrText>
      </w:r>
      <w:r>
        <w:fldChar w:fldCharType="separate"/>
      </w:r>
      <w:r>
        <w:t>6</w:t>
      </w:r>
      <w:r>
        <w:fldChar w:fldCharType="end"/>
      </w:r>
      <w:r>
        <w:fldChar w:fldCharType="end"/>
      </w:r>
    </w:p>
    <w:p>
      <w:pPr>
        <w:pStyle w:val="25"/>
        <w:tabs>
          <w:tab w:val="right" w:leader="dot" w:pos="9026"/>
          <w:tab w:val="clear" w:pos="1260"/>
          <w:tab w:val="clear" w:pos="8302"/>
        </w:tabs>
      </w:pPr>
      <w:r>
        <w:fldChar w:fldCharType="begin"/>
      </w:r>
      <w:r>
        <w:instrText xml:space="preserve"> HYPERLINK \l _Toc5079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lang w:val="en-US" w:eastAsia="zh-CN"/>
        </w:rPr>
        <w:t xml:space="preserve">3.2. </w:t>
      </w:r>
      <w:r>
        <w:rPr>
          <w:rFonts w:hint="eastAsia"/>
          <w:lang w:val="en-US" w:eastAsia="zh-CN"/>
        </w:rPr>
        <w:t>采购意向</w:t>
      </w:r>
      <w:r>
        <w:tab/>
      </w:r>
      <w:r>
        <w:fldChar w:fldCharType="begin"/>
      </w:r>
      <w:r>
        <w:instrText xml:space="preserve"> PAGEREF _Toc5079 \h </w:instrText>
      </w:r>
      <w:r>
        <w:fldChar w:fldCharType="separate"/>
      </w:r>
      <w:r>
        <w:t>6</w:t>
      </w:r>
      <w:r>
        <w:fldChar w:fldCharType="end"/>
      </w:r>
      <w:r>
        <w:fldChar w:fldCharType="end"/>
      </w:r>
    </w:p>
    <w:p>
      <w:pPr>
        <w:pStyle w:val="25"/>
        <w:tabs>
          <w:tab w:val="right" w:leader="dot" w:pos="9026"/>
          <w:tab w:val="clear" w:pos="1260"/>
          <w:tab w:val="clear" w:pos="8302"/>
        </w:tabs>
      </w:pPr>
      <w:r>
        <w:fldChar w:fldCharType="begin"/>
      </w:r>
      <w:r>
        <w:instrText xml:space="preserve"> HYPERLINK \l _Toc22594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lang w:val="en-US" w:eastAsia="zh-CN"/>
        </w:rPr>
        <w:t xml:space="preserve">3.3. </w:t>
      </w:r>
      <w:r>
        <w:rPr>
          <w:rFonts w:hint="eastAsia"/>
          <w:lang w:val="en-US" w:eastAsia="zh-CN"/>
        </w:rPr>
        <w:t>申报采购计划</w:t>
      </w:r>
      <w:r>
        <w:tab/>
      </w:r>
      <w:r>
        <w:fldChar w:fldCharType="begin"/>
      </w:r>
      <w:r>
        <w:instrText xml:space="preserve"> PAGEREF _Toc22594 \h </w:instrText>
      </w:r>
      <w:r>
        <w:fldChar w:fldCharType="separate"/>
      </w:r>
      <w:r>
        <w:t>7</w:t>
      </w:r>
      <w:r>
        <w:fldChar w:fldCharType="end"/>
      </w:r>
      <w:r>
        <w:fldChar w:fldCharType="end"/>
      </w:r>
    </w:p>
    <w:p>
      <w:pPr>
        <w:pStyle w:val="22"/>
        <w:tabs>
          <w:tab w:val="right" w:leader="dot" w:pos="9026"/>
        </w:tabs>
      </w:pPr>
      <w:r>
        <w:fldChar w:fldCharType="begin"/>
      </w:r>
      <w:r>
        <w:instrText xml:space="preserve"> HYPERLINK \l _Toc20678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4. </w:t>
      </w:r>
      <w:r>
        <w:rPr>
          <w:rFonts w:hint="eastAsia"/>
          <w:kern w:val="0"/>
          <w:lang w:val="en-US" w:eastAsia="zh-CN"/>
        </w:rPr>
        <w:t>一体化平台功能</w:t>
      </w:r>
      <w:r>
        <w:tab/>
      </w:r>
      <w:r>
        <w:fldChar w:fldCharType="begin"/>
      </w:r>
      <w:r>
        <w:instrText xml:space="preserve"> PAGEREF _Toc20678 \h </w:instrText>
      </w:r>
      <w:r>
        <w:fldChar w:fldCharType="separate"/>
      </w:r>
      <w:r>
        <w:t>9</w:t>
      </w:r>
      <w:r>
        <w:fldChar w:fldCharType="end"/>
      </w:r>
      <w:r>
        <w:fldChar w:fldCharType="end"/>
      </w:r>
    </w:p>
    <w:p>
      <w:pPr>
        <w:pStyle w:val="25"/>
        <w:tabs>
          <w:tab w:val="right" w:leader="dot" w:pos="9026"/>
          <w:tab w:val="clear" w:pos="1260"/>
          <w:tab w:val="clear" w:pos="8302"/>
        </w:tabs>
      </w:pPr>
      <w:r>
        <w:fldChar w:fldCharType="begin"/>
      </w:r>
      <w:r>
        <w:instrText xml:space="preserve"> HYPERLINK \l _Toc10395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lang w:val="en-US" w:eastAsia="zh-CN"/>
        </w:rPr>
        <w:t xml:space="preserve">4.1. </w:t>
      </w:r>
      <w:r>
        <w:rPr>
          <w:rFonts w:hint="eastAsia"/>
          <w:lang w:val="en-US" w:eastAsia="zh-CN"/>
        </w:rPr>
        <w:t>采购预算</w:t>
      </w:r>
      <w:r>
        <w:tab/>
      </w:r>
      <w:r>
        <w:fldChar w:fldCharType="begin"/>
      </w:r>
      <w:r>
        <w:instrText xml:space="preserve"> PAGEREF _Toc10395 \h </w:instrText>
      </w:r>
      <w:r>
        <w:fldChar w:fldCharType="separate"/>
      </w:r>
      <w:r>
        <w:t>10</w:t>
      </w:r>
      <w:r>
        <w:fldChar w:fldCharType="end"/>
      </w:r>
      <w:r>
        <w:fldChar w:fldCharType="end"/>
      </w:r>
    </w:p>
    <w:p>
      <w:pPr>
        <w:pStyle w:val="25"/>
        <w:tabs>
          <w:tab w:val="right" w:leader="dot" w:pos="9026"/>
          <w:tab w:val="clear" w:pos="1260"/>
          <w:tab w:val="clear" w:pos="8302"/>
        </w:tabs>
      </w:pPr>
      <w:r>
        <w:fldChar w:fldCharType="begin"/>
      </w:r>
      <w:r>
        <w:instrText xml:space="preserve"> HYPERLINK \l _Toc25833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lang w:val="en-US" w:eastAsia="zh-CN"/>
        </w:rPr>
        <w:t xml:space="preserve">4.2. </w:t>
      </w:r>
      <w:r>
        <w:rPr>
          <w:rFonts w:hint="eastAsia"/>
          <w:lang w:val="en-US" w:eastAsia="zh-CN"/>
        </w:rPr>
        <w:t>申报采购计划</w:t>
      </w:r>
      <w:r>
        <w:tab/>
      </w:r>
      <w:r>
        <w:fldChar w:fldCharType="begin"/>
      </w:r>
      <w:r>
        <w:instrText xml:space="preserve"> PAGEREF _Toc25833 \h </w:instrText>
      </w:r>
      <w:r>
        <w:fldChar w:fldCharType="separate"/>
      </w:r>
      <w:r>
        <w:t>10</w:t>
      </w:r>
      <w:r>
        <w:fldChar w:fldCharType="end"/>
      </w:r>
      <w:r>
        <w:fldChar w:fldCharType="end"/>
      </w:r>
    </w:p>
    <w:p>
      <w:pPr>
        <w:pStyle w:val="25"/>
        <w:tabs>
          <w:tab w:val="right" w:leader="dot" w:pos="9026"/>
          <w:tab w:val="clear" w:pos="1260"/>
          <w:tab w:val="clear" w:pos="8302"/>
        </w:tabs>
      </w:pPr>
      <w:r>
        <w:fldChar w:fldCharType="begin"/>
      </w:r>
      <w:r>
        <w:instrText xml:space="preserve"> HYPERLINK \l _Toc3276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rPr>
        <w:t xml:space="preserve">4.3. </w:t>
      </w:r>
      <w:r>
        <w:rPr>
          <w:rFonts w:hint="eastAsia"/>
          <w:lang w:val="en-US" w:eastAsia="zh-CN"/>
        </w:rPr>
        <w:t>组建分包</w:t>
      </w:r>
      <w:r>
        <w:tab/>
      </w:r>
      <w:r>
        <w:fldChar w:fldCharType="begin"/>
      </w:r>
      <w:r>
        <w:instrText xml:space="preserve"> PAGEREF _Toc3276 \h </w:instrText>
      </w:r>
      <w:r>
        <w:fldChar w:fldCharType="separate"/>
      </w:r>
      <w:r>
        <w:t>13</w:t>
      </w:r>
      <w:r>
        <w:fldChar w:fldCharType="end"/>
      </w:r>
      <w:r>
        <w:fldChar w:fldCharType="end"/>
      </w:r>
    </w:p>
    <w:p>
      <w:pPr>
        <w:pStyle w:val="25"/>
        <w:tabs>
          <w:tab w:val="right" w:leader="dot" w:pos="9026"/>
          <w:tab w:val="clear" w:pos="1260"/>
          <w:tab w:val="clear" w:pos="8302"/>
        </w:tabs>
      </w:pPr>
      <w:r>
        <w:fldChar w:fldCharType="begin"/>
      </w:r>
      <w:r>
        <w:instrText xml:space="preserve"> HYPERLINK \l _Toc17968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rPr>
        <w:t xml:space="preserve">4.4. </w:t>
      </w:r>
      <w:r>
        <w:rPr>
          <w:rFonts w:hint="eastAsia"/>
          <w:lang w:val="en-US" w:eastAsia="zh-CN"/>
        </w:rPr>
        <w:t>合同备案及验收单</w:t>
      </w:r>
      <w:r>
        <w:tab/>
      </w:r>
      <w:r>
        <w:fldChar w:fldCharType="begin"/>
      </w:r>
      <w:r>
        <w:instrText xml:space="preserve"> PAGEREF _Toc17968 \h </w:instrText>
      </w:r>
      <w:r>
        <w:fldChar w:fldCharType="separate"/>
      </w:r>
      <w:r>
        <w:t>14</w:t>
      </w:r>
      <w:r>
        <w:fldChar w:fldCharType="end"/>
      </w:r>
      <w:r>
        <w:fldChar w:fldCharType="end"/>
      </w:r>
    </w:p>
    <w:p>
      <w:pPr>
        <w:pStyle w:val="25"/>
        <w:tabs>
          <w:tab w:val="right" w:leader="dot" w:pos="9026"/>
          <w:tab w:val="clear" w:pos="1260"/>
          <w:tab w:val="clear" w:pos="8302"/>
        </w:tabs>
      </w:pPr>
      <w:r>
        <w:fldChar w:fldCharType="begin"/>
      </w:r>
      <w:r>
        <w:instrText xml:space="preserve"> HYPERLINK \l _Toc28809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30"/>
          <w:vertAlign w:val="baseline"/>
        </w:rPr>
        <w:t xml:space="preserve">4.5. </w:t>
      </w:r>
      <w:r>
        <w:rPr>
          <w:rFonts w:hint="eastAsia"/>
          <w:lang w:val="en-US" w:eastAsia="zh-CN"/>
        </w:rPr>
        <w:t>手动关联一体化预算</w:t>
      </w:r>
      <w:r>
        <w:tab/>
      </w:r>
      <w:r>
        <w:fldChar w:fldCharType="begin"/>
      </w:r>
      <w:r>
        <w:instrText xml:space="preserve"> PAGEREF _Toc28809 \h </w:instrText>
      </w:r>
      <w:r>
        <w:fldChar w:fldCharType="separate"/>
      </w:r>
      <w:r>
        <w:t>15</w:t>
      </w:r>
      <w:r>
        <w:fldChar w:fldCharType="end"/>
      </w:r>
      <w:r>
        <w:fldChar w:fldCharType="end"/>
      </w:r>
    </w:p>
    <w:p>
      <w:r>
        <w:fldChar w:fldCharType="end"/>
      </w:r>
    </w:p>
    <w:p/>
    <w:p/>
    <w:p/>
    <w:p/>
    <w:p/>
    <w:p/>
    <w:p/>
    <w:p/>
    <w:p/>
    <w:p/>
    <w:p/>
    <w:p/>
    <w:p/>
    <w:p/>
    <w:p/>
    <w:p/>
    <w:p/>
    <w:p>
      <w:pPr>
        <w:pStyle w:val="2"/>
      </w:pPr>
      <w:bookmarkStart w:id="0" w:name="_Toc4886"/>
      <w:r>
        <w:rPr>
          <w:rFonts w:hint="eastAsia"/>
          <w:lang w:val="en-US" w:eastAsia="zh-CN"/>
        </w:rPr>
        <w:t>涉改单位预算编码</w:t>
      </w:r>
      <w:bookmarkEnd w:id="0"/>
    </w:p>
    <w:p>
      <w:pPr>
        <w:pStyle w:val="3"/>
        <w:bidi w:val="0"/>
      </w:pPr>
      <w:bookmarkStart w:id="1" w:name="_Toc14983"/>
      <w:r>
        <w:rPr>
          <w:rFonts w:hint="eastAsia"/>
        </w:rPr>
        <w:t>完善基本信息</w:t>
      </w:r>
      <w:r>
        <w:rPr>
          <w:rFonts w:hint="eastAsia"/>
          <w:lang w:val="en-US" w:eastAsia="zh-CN"/>
        </w:rPr>
        <w:t>中涉改单位预算编码</w:t>
      </w:r>
      <w:bookmarkEnd w:id="1"/>
    </w:p>
    <w:p>
      <w:r>
        <w:rPr>
          <w:rFonts w:hint="eastAsia"/>
        </w:rPr>
        <w:t>采购单位在</w:t>
      </w:r>
      <w:r>
        <w:rPr>
          <w:rFonts w:hint="eastAsia"/>
          <w:lang w:val="en-US" w:eastAsia="zh-CN"/>
        </w:rPr>
        <w:t>挑选组织形式为集中-电子卖场、新增合同备案</w:t>
      </w:r>
      <w:r>
        <w:rPr>
          <w:rFonts w:hint="eastAsia"/>
        </w:rPr>
        <w:t>之前，用户库基本信息需要先完善</w:t>
      </w:r>
      <w:r>
        <w:rPr>
          <w:rFonts w:hint="eastAsia"/>
          <w:lang w:val="en-US" w:eastAsia="zh-CN"/>
        </w:rPr>
        <w:t>采购预算单位“涉改单位预算编码”</w:t>
      </w:r>
      <w:r>
        <w:rPr>
          <w:rFonts w:hint="eastAsia"/>
        </w:rPr>
        <w:t>并提交给采购办审核通过之后，</w:t>
      </w:r>
      <w:r>
        <w:rPr>
          <w:rFonts w:hint="eastAsia"/>
          <w:lang w:val="en-US" w:eastAsia="zh-CN"/>
        </w:rPr>
        <w:t>才能进行选择集中-电子卖场、新增合同备案</w:t>
      </w:r>
      <w:r>
        <w:rPr>
          <w:rFonts w:hint="eastAsia"/>
        </w:rPr>
        <w:t>。</w:t>
      </w:r>
    </w:p>
    <w:p>
      <w:pPr>
        <w:rPr>
          <w:b/>
        </w:rPr>
      </w:pPr>
      <w:r>
        <w:rPr>
          <w:rFonts w:hint="eastAsia"/>
          <w:b/>
        </w:rPr>
        <w:t>操作描述：</w:t>
      </w:r>
    </w:p>
    <w:p>
      <w:pPr>
        <w:numPr>
          <w:ilvl w:val="0"/>
          <w:numId w:val="0"/>
        </w:numPr>
        <w:rPr>
          <w:rFonts w:hint="eastAsia"/>
          <w:b/>
          <w:bCs/>
          <w:color w:val="FF0000"/>
          <w:lang w:val="en-US" w:eastAsia="zh-CN"/>
        </w:rPr>
      </w:pPr>
      <w:r>
        <w:rPr>
          <w:rFonts w:hint="eastAsia"/>
          <w:lang w:val="en-US" w:eastAsia="zh-CN"/>
        </w:rPr>
        <w:t>一、</w:t>
      </w:r>
      <w:r>
        <w:rPr>
          <w:rFonts w:hint="eastAsia"/>
        </w:rPr>
        <w:t>打开采购单位信息管理栏目下的“基本信息”菜单，点击左上角的修改信息按钮，完善</w:t>
      </w:r>
      <w:r>
        <w:rPr>
          <w:rFonts w:hint="eastAsia"/>
          <w:lang w:val="en-US" w:eastAsia="zh-CN"/>
        </w:rPr>
        <w:t>采购预算单位“涉改单位预算编码”</w:t>
      </w:r>
      <w:r>
        <w:rPr>
          <w:rFonts w:hint="eastAsia"/>
        </w:rPr>
        <w:t>并提交给采购办审核通过</w:t>
      </w:r>
      <w:r>
        <w:rPr>
          <w:rFonts w:hint="eastAsia"/>
          <w:lang w:eastAsia="zh-CN"/>
        </w:rPr>
        <w:t>。</w:t>
      </w:r>
      <w:r>
        <w:rPr>
          <w:rFonts w:hint="eastAsia"/>
          <w:b/>
          <w:bCs/>
          <w:color w:val="FF0000"/>
          <w:lang w:val="en-US" w:eastAsia="zh-CN"/>
        </w:rPr>
        <w:t>如果存在采购预算单位（不是主管单位）涉改的情况，请“涉改单位预算编码”填写最新的涉改单预算编码，如果不存在涉改的情况，请“涉改单位预算编码”填写本单位的最新预算编码。</w:t>
      </w:r>
    </w:p>
    <w:p>
      <w:pPr>
        <w:numPr>
          <w:ilvl w:val="0"/>
          <w:numId w:val="0"/>
        </w:numPr>
        <w:rPr>
          <w:rFonts w:hint="default"/>
          <w:b/>
          <w:bCs/>
          <w:color w:val="FF0000"/>
          <w:lang w:val="en-US" w:eastAsia="zh-CN"/>
        </w:rPr>
      </w:pPr>
      <w:r>
        <w:rPr>
          <w:rFonts w:hint="eastAsia"/>
          <w:b/>
          <w:bCs/>
          <w:color w:val="000000" w:themeColor="text1"/>
          <w:lang w:val="en-US" w:eastAsia="zh-CN"/>
        </w:rPr>
        <w:t>二、</w:t>
      </w:r>
      <w:r>
        <w:rPr>
          <w:rFonts w:hint="eastAsia"/>
          <w:b/>
          <w:bCs/>
          <w:color w:val="FF0000"/>
          <w:lang w:val="en-US" w:eastAsia="zh-CN"/>
        </w:rPr>
        <w:t>上传涉改单位的证明材料，如果不存在涉改的情况，请上传不存在涉改的证明材料。</w:t>
      </w:r>
    </w:p>
    <w:p>
      <w:r>
        <w:rPr>
          <w:rFonts w:hint="eastAsia"/>
          <w:lang w:val="en-US" w:eastAsia="zh-CN"/>
        </w:rPr>
        <w:t>三、</w:t>
      </w:r>
      <w:r>
        <w:rPr>
          <w:rFonts w:hint="eastAsia"/>
        </w:rPr>
        <w:t>如果对基本信息存在疑问的，请联系当地采购办或者本公司客服（客服热线：400</w:t>
      </w:r>
      <w:r>
        <w:rPr>
          <w:rFonts w:hint="eastAsia"/>
          <w:lang w:val="en-US" w:eastAsia="zh-CN"/>
        </w:rPr>
        <w:t>9980000</w:t>
      </w:r>
      <w:r>
        <w:rPr>
          <w:rFonts w:hint="eastAsia"/>
        </w:rPr>
        <w:t>）</w:t>
      </w:r>
    </w:p>
    <w:p/>
    <w:p>
      <w:r>
        <w:rPr>
          <w:rFonts w:hint="eastAsia"/>
          <w:lang w:val="en-US" w:eastAsia="zh-CN"/>
        </w:rPr>
        <w:t>修改涉改单位预算编码及上传涉改证明材料</w:t>
      </w:r>
      <w:r>
        <w:rPr>
          <w:rFonts w:hint="eastAsia"/>
        </w:rPr>
        <w:t>如下图所示：</w:t>
      </w:r>
    </w:p>
    <w:p>
      <w:pPr>
        <w:jc w:val="center"/>
      </w:pPr>
      <w:r>
        <w:drawing>
          <wp:inline distT="0" distB="0" distL="114300" distR="114300">
            <wp:extent cx="5721985" cy="2124710"/>
            <wp:effectExtent l="0" t="0" r="5715"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5721985" cy="2124710"/>
                    </a:xfrm>
                    <a:prstGeom prst="rect">
                      <a:avLst/>
                    </a:prstGeom>
                    <a:noFill/>
                    <a:ln>
                      <a:noFill/>
                    </a:ln>
                  </pic:spPr>
                </pic:pic>
              </a:graphicData>
            </a:graphic>
          </wp:inline>
        </w:drawing>
      </w:r>
    </w:p>
    <w:p>
      <w:pPr>
        <w:jc w:val="center"/>
      </w:pPr>
      <w:r>
        <w:drawing>
          <wp:inline distT="0" distB="0" distL="114300" distR="114300">
            <wp:extent cx="5730875" cy="2028825"/>
            <wp:effectExtent l="0" t="0" r="9525"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5730875" cy="2028825"/>
                    </a:xfrm>
                    <a:prstGeom prst="rect">
                      <a:avLst/>
                    </a:prstGeom>
                    <a:noFill/>
                    <a:ln>
                      <a:noFill/>
                    </a:ln>
                  </pic:spPr>
                </pic:pic>
              </a:graphicData>
            </a:graphic>
          </wp:inline>
        </w:drawing>
      </w:r>
    </w:p>
    <w:p>
      <w:pPr>
        <w:jc w:val="center"/>
      </w:pPr>
      <w:r>
        <w:drawing>
          <wp:inline distT="0" distB="0" distL="114300" distR="114300">
            <wp:extent cx="5730875" cy="1372235"/>
            <wp:effectExtent l="0" t="0" r="9525" b="1206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5730875" cy="1372235"/>
                    </a:xfrm>
                    <a:prstGeom prst="rect">
                      <a:avLst/>
                    </a:prstGeom>
                    <a:noFill/>
                    <a:ln>
                      <a:noFill/>
                    </a:ln>
                  </pic:spPr>
                </pic:pic>
              </a:graphicData>
            </a:graphic>
          </wp:inline>
        </w:drawing>
      </w:r>
    </w:p>
    <w:p>
      <w:pPr>
        <w:jc w:val="center"/>
      </w:pPr>
    </w:p>
    <w:p>
      <w:pPr>
        <w:pStyle w:val="2"/>
      </w:pPr>
      <w:bookmarkStart w:id="2" w:name="_Toc26645"/>
      <w:bookmarkStart w:id="3" w:name="_Toc332110307"/>
      <w:r>
        <w:rPr>
          <w:rFonts w:hint="eastAsia"/>
          <w:lang w:val="en-US" w:eastAsia="zh-CN"/>
        </w:rPr>
        <w:t>电子卖场</w:t>
      </w:r>
      <w:bookmarkEnd w:id="2"/>
    </w:p>
    <w:bookmarkEnd w:id="3"/>
    <w:p>
      <w:pPr>
        <w:pStyle w:val="3"/>
      </w:pPr>
      <w:bookmarkStart w:id="4" w:name="_Toc3577"/>
      <w:r>
        <w:rPr>
          <w:rFonts w:hint="eastAsia"/>
          <w:lang w:val="en-US" w:eastAsia="zh-CN"/>
        </w:rPr>
        <w:t>电子卖场</w:t>
      </w:r>
      <w:bookmarkEnd w:id="4"/>
    </w:p>
    <w:p>
      <w:pPr>
        <w:ind w:firstLine="420" w:firstLineChars="200"/>
      </w:pPr>
      <w:r>
        <w:rPr>
          <w:rFonts w:hint="eastAsia"/>
          <w:lang w:val="en-US" w:eastAsia="zh-CN"/>
        </w:rPr>
        <w:t>一、主管</w:t>
      </w:r>
      <w:r>
        <w:rPr>
          <w:rFonts w:hint="eastAsia"/>
        </w:rPr>
        <w:t>单位</w:t>
      </w:r>
      <w:r>
        <w:rPr>
          <w:rFonts w:hint="eastAsia"/>
          <w:lang w:val="en-US" w:eastAsia="zh-CN"/>
        </w:rPr>
        <w:t>挑选组织形式选择集中-电子卖场</w:t>
      </w:r>
      <w:r>
        <w:rPr>
          <w:rFonts w:hint="eastAsia"/>
        </w:rPr>
        <w:t>，进入菜单“</w:t>
      </w:r>
      <w:r>
        <w:rPr>
          <w:rFonts w:hint="eastAsia"/>
          <w:lang w:val="en-US" w:eastAsia="zh-CN"/>
        </w:rPr>
        <w:t>挑选组织形式</w:t>
      </w:r>
      <w:r>
        <w:rPr>
          <w:rFonts w:hint="eastAsia"/>
        </w:rPr>
        <w:t>—</w:t>
      </w:r>
      <w:r>
        <w:rPr>
          <w:rFonts w:hint="eastAsia"/>
          <w:lang w:val="en-US" w:eastAsia="zh-CN"/>
        </w:rPr>
        <w:t>集中-电子卖场</w:t>
      </w:r>
      <w:r>
        <w:rPr>
          <w:rFonts w:hint="eastAsia"/>
        </w:rPr>
        <w:t>”，如下图：</w:t>
      </w:r>
    </w:p>
    <w:p>
      <w:pPr>
        <w:jc w:val="center"/>
        <w:rPr>
          <w:rFonts w:ascii="宋体" w:hAnsi="宋体" w:cs="宋体"/>
          <w:kern w:val="0"/>
          <w:sz w:val="24"/>
        </w:rPr>
      </w:pPr>
      <w:r>
        <w:drawing>
          <wp:inline distT="0" distB="0" distL="114300" distR="114300">
            <wp:extent cx="5727700" cy="1871980"/>
            <wp:effectExtent l="0" t="0" r="0"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5727700" cy="1871980"/>
                    </a:xfrm>
                    <a:prstGeom prst="rect">
                      <a:avLst/>
                    </a:prstGeom>
                    <a:noFill/>
                    <a:ln>
                      <a:noFill/>
                    </a:ln>
                  </pic:spPr>
                </pic:pic>
              </a:graphicData>
            </a:graphic>
          </wp:inline>
        </w:drawing>
      </w:r>
    </w:p>
    <w:p>
      <w:r>
        <w:rPr>
          <w:rFonts w:hint="eastAsia"/>
          <w:lang w:val="en-US" w:eastAsia="zh-CN"/>
        </w:rPr>
        <w:t>二、挑选条目信息，</w:t>
      </w:r>
      <w:r>
        <w:rPr>
          <w:rFonts w:hint="eastAsia"/>
        </w:rPr>
        <w:t>点击</w:t>
      </w:r>
      <w:r>
        <w:t xml:space="preserve"> </w:t>
      </w:r>
      <w:r>
        <w:drawing>
          <wp:inline distT="0" distB="0" distL="114300" distR="114300">
            <wp:extent cx="666750" cy="273050"/>
            <wp:effectExtent l="0" t="0" r="6350" b="635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3"/>
                    <a:stretch>
                      <a:fillRect/>
                    </a:stretch>
                  </pic:blipFill>
                  <pic:spPr>
                    <a:xfrm>
                      <a:off x="0" y="0"/>
                      <a:ext cx="666750" cy="273050"/>
                    </a:xfrm>
                    <a:prstGeom prst="rect">
                      <a:avLst/>
                    </a:prstGeom>
                    <a:noFill/>
                    <a:ln>
                      <a:noFill/>
                    </a:ln>
                  </pic:spPr>
                </pic:pic>
              </a:graphicData>
            </a:graphic>
          </wp:inline>
        </w:drawing>
      </w:r>
      <w:r>
        <w:rPr>
          <w:rFonts w:hint="eastAsia"/>
        </w:rPr>
        <w:t>按钮后跳出如下页面（</w:t>
      </w:r>
      <w:r>
        <w:rPr>
          <w:rFonts w:hint="eastAsia"/>
          <w:b/>
          <w:color w:val="FF0000"/>
        </w:rPr>
        <w:t>只有</w:t>
      </w:r>
      <w:r>
        <w:rPr>
          <w:rFonts w:hint="eastAsia"/>
          <w:b/>
          <w:color w:val="FF0000"/>
          <w:lang w:val="en-US" w:eastAsia="zh-CN"/>
        </w:rPr>
        <w:t>主管预算</w:t>
      </w:r>
      <w:r>
        <w:rPr>
          <w:rFonts w:hint="eastAsia"/>
          <w:b/>
          <w:color w:val="FF0000"/>
        </w:rPr>
        <w:t>单位才能</w:t>
      </w:r>
      <w:r>
        <w:rPr>
          <w:rFonts w:hint="eastAsia"/>
          <w:b/>
          <w:color w:val="FF0000"/>
          <w:lang w:val="en-US" w:eastAsia="zh-CN"/>
        </w:rPr>
        <w:t>挑选组织形式</w:t>
      </w:r>
      <w:r>
        <w:rPr>
          <w:rFonts w:hint="eastAsia"/>
        </w:rPr>
        <w:t>）。</w:t>
      </w:r>
    </w:p>
    <w:p>
      <w:r>
        <w:rPr>
          <w:rFonts w:hint="eastAsia"/>
          <w:lang w:val="en-US" w:eastAsia="zh-CN"/>
        </w:rPr>
        <w:t>三、确定组织形式：选择集中-电子卖场</w:t>
      </w:r>
      <w:r>
        <w:rPr>
          <w:rFonts w:hint="eastAsia"/>
        </w:rPr>
        <w:t>，如下图所示：</w:t>
      </w:r>
    </w:p>
    <w:p>
      <w:r>
        <w:drawing>
          <wp:inline distT="0" distB="0" distL="114300" distR="114300">
            <wp:extent cx="5724525" cy="2374900"/>
            <wp:effectExtent l="0" t="0" r="3175" b="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4"/>
                    <a:stretch>
                      <a:fillRect/>
                    </a:stretch>
                  </pic:blipFill>
                  <pic:spPr>
                    <a:xfrm>
                      <a:off x="0" y="0"/>
                      <a:ext cx="5724525" cy="237490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四、点击确定组织形式，如果弹出</w:t>
      </w:r>
      <w:r>
        <w:rPr>
          <w:rFonts w:hint="eastAsia"/>
          <w:color w:val="auto"/>
          <w:szCs w:val="21"/>
          <w:lang w:val="en-US" w:eastAsia="zh-CN"/>
        </w:rPr>
        <w:t>提示：“</w:t>
      </w:r>
      <w:r>
        <w:rPr>
          <w:rFonts w:hint="eastAsia"/>
          <w:color w:val="FF0000"/>
          <w:szCs w:val="21"/>
          <w:lang w:val="en-US" w:eastAsia="zh-CN"/>
        </w:rPr>
        <w:t>请先进行预算单位基本信息涉改单位预算编码的完善，再进行电子卖场流程</w:t>
      </w:r>
      <w:r>
        <w:rPr>
          <w:rFonts w:hint="eastAsia"/>
          <w:color w:val="auto"/>
          <w:szCs w:val="21"/>
          <w:lang w:val="en-US" w:eastAsia="zh-CN"/>
        </w:rPr>
        <w:t>”。</w:t>
      </w:r>
      <w:r>
        <w:rPr>
          <w:rFonts w:hint="eastAsia"/>
          <w:color w:val="FF0000"/>
          <w:szCs w:val="21"/>
          <w:lang w:val="en-US" w:eastAsia="zh-CN"/>
        </w:rPr>
        <w:t>请先到采购预算单位基本信息中完善“涉改单位预算编码”提交给当地采购办审核通过</w:t>
      </w:r>
      <w:r>
        <w:rPr>
          <w:rFonts w:hint="eastAsia"/>
          <w:color w:val="auto"/>
          <w:szCs w:val="21"/>
          <w:lang w:val="en-US" w:eastAsia="zh-CN"/>
        </w:rPr>
        <w:t>，再通过主管预算单位进行挑选组织形式，选择集中-电子卖场。</w:t>
      </w:r>
    </w:p>
    <w:p>
      <w:pPr>
        <w:rPr>
          <w:rFonts w:ascii="宋体" w:hAnsi="宋体" w:cs="宋体"/>
          <w:b/>
          <w:kern w:val="0"/>
          <w:szCs w:val="21"/>
        </w:rPr>
      </w:pPr>
    </w:p>
    <w:p>
      <w:pPr>
        <w:rPr>
          <w:rFonts w:ascii="宋体" w:hAnsi="宋体" w:cs="宋体"/>
          <w:color w:val="FF0000"/>
          <w:kern w:val="0"/>
          <w:sz w:val="24"/>
        </w:rPr>
      </w:pPr>
    </w:p>
    <w:p>
      <w:pPr>
        <w:widowControl/>
        <w:jc w:val="left"/>
      </w:pPr>
      <w:bookmarkStart w:id="5" w:name="_Toc332110312"/>
    </w:p>
    <w:p>
      <w:pPr>
        <w:pStyle w:val="2"/>
      </w:pPr>
      <w:bookmarkStart w:id="6" w:name="_Toc531"/>
      <w:r>
        <w:rPr>
          <w:rFonts w:hint="eastAsia"/>
          <w:lang w:val="en-US" w:eastAsia="zh-CN"/>
        </w:rPr>
        <w:t>意向公开及采购需求管理</w:t>
      </w:r>
      <w:bookmarkEnd w:id="6"/>
    </w:p>
    <w:bookmarkEnd w:id="5"/>
    <w:p>
      <w:pPr>
        <w:widowControl/>
        <w:jc w:val="left"/>
        <w:rPr>
          <w:rFonts w:hint="default" w:ascii="宋体" w:hAnsi="宋体" w:cs="宋体"/>
          <w:color w:val="000000" w:themeColor="text1"/>
          <w:kern w:val="0"/>
          <w:szCs w:val="21"/>
          <w:lang w:val="en-US"/>
        </w:rPr>
      </w:pPr>
      <w:r>
        <w:rPr>
          <w:rFonts w:hint="eastAsia"/>
          <w:color w:val="000000" w:themeColor="text1"/>
          <w:lang w:val="en-US" w:eastAsia="zh-CN"/>
        </w:rPr>
        <w:t>预算单位增加一个菜单-项目类型选择，项目类型有三种：普通采购；急需采购；协议、批量、定点、商城、卖场。</w:t>
      </w:r>
      <w:r>
        <w:rPr>
          <w:rFonts w:hint="eastAsia"/>
          <w:color w:val="000000" w:themeColor="text1"/>
          <w:highlight w:val="red"/>
          <w:lang w:val="en-US" w:eastAsia="zh-CN"/>
        </w:rPr>
        <w:t>只有选择普通采购的预算，才必须做意向公开</w:t>
      </w:r>
      <w:r>
        <w:rPr>
          <w:rFonts w:hint="eastAsia"/>
          <w:color w:val="000000" w:themeColor="text1"/>
          <w:lang w:val="en-US" w:eastAsia="zh-CN"/>
        </w:rPr>
        <w:t>；急需采购或“协议、批量、定点、商城、卖场”，无需做采购意向公开。意向公开流程调整到申报采购计划之前，意向公开截止时间到了，才可以进行申报采购计划流程操作。</w:t>
      </w:r>
    </w:p>
    <w:p>
      <w:pPr>
        <w:pStyle w:val="3"/>
      </w:pPr>
      <w:bookmarkStart w:id="7" w:name="_Toc24609"/>
      <w:r>
        <w:rPr>
          <w:rFonts w:hint="eastAsia"/>
          <w:lang w:val="en-US" w:eastAsia="zh-CN"/>
        </w:rPr>
        <w:t>项目类型选择</w:t>
      </w:r>
      <w:bookmarkEnd w:id="7"/>
    </w:p>
    <w:p>
      <w:pPr>
        <w:rPr>
          <w:szCs w:val="21"/>
        </w:rPr>
      </w:pPr>
      <w:r>
        <w:rPr>
          <w:rFonts w:hint="eastAsia"/>
          <w:szCs w:val="21"/>
        </w:rPr>
        <w:t>以采购</w:t>
      </w:r>
      <w:r>
        <w:rPr>
          <w:rFonts w:hint="eastAsia"/>
          <w:szCs w:val="21"/>
          <w:lang w:val="en-US" w:eastAsia="zh-CN"/>
        </w:rPr>
        <w:t>预算</w:t>
      </w:r>
      <w:r>
        <w:rPr>
          <w:rFonts w:hint="eastAsia"/>
          <w:szCs w:val="21"/>
        </w:rPr>
        <w:t>单位身份登入用户系统，</w:t>
      </w:r>
      <w:r>
        <w:rPr>
          <w:rFonts w:hint="eastAsia"/>
          <w:szCs w:val="21"/>
          <w:lang w:val="en-US" w:eastAsia="zh-CN"/>
        </w:rPr>
        <w:t>点击项目类型选择</w:t>
      </w:r>
      <w:r>
        <w:rPr>
          <w:rFonts w:hint="eastAsia"/>
          <w:szCs w:val="21"/>
        </w:rPr>
        <w:t>，如下图：</w:t>
      </w:r>
    </w:p>
    <w:p>
      <w:pPr>
        <w:widowControl/>
        <w:jc w:val="center"/>
        <w:rPr>
          <w:rFonts w:ascii="宋体" w:hAnsi="宋体" w:cs="宋体"/>
          <w:kern w:val="0"/>
          <w:sz w:val="24"/>
        </w:rPr>
      </w:pPr>
      <w:r>
        <w:drawing>
          <wp:inline distT="0" distB="0" distL="114300" distR="114300">
            <wp:extent cx="5730240" cy="1913255"/>
            <wp:effectExtent l="0" t="0" r="10160" b="444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5"/>
                    <a:stretch>
                      <a:fillRect/>
                    </a:stretch>
                  </pic:blipFill>
                  <pic:spPr>
                    <a:xfrm>
                      <a:off x="0" y="0"/>
                      <a:ext cx="5730240" cy="1913255"/>
                    </a:xfrm>
                    <a:prstGeom prst="rect">
                      <a:avLst/>
                    </a:prstGeom>
                    <a:noFill/>
                    <a:ln>
                      <a:noFill/>
                    </a:ln>
                  </pic:spPr>
                </pic:pic>
              </a:graphicData>
            </a:graphic>
          </wp:inline>
        </w:drawing>
      </w:r>
    </w:p>
    <w:p>
      <w:pPr>
        <w:rPr>
          <w:rFonts w:hint="default" w:eastAsia="宋体"/>
          <w:b/>
          <w:bCs/>
          <w:color w:val="FF0000"/>
          <w:lang w:val="en-US" w:eastAsia="zh-CN"/>
        </w:rPr>
      </w:pPr>
      <w:r>
        <w:rPr>
          <w:rFonts w:hint="eastAsia"/>
          <w:b/>
          <w:bCs/>
          <w:color w:val="FF0000"/>
          <w:lang w:val="en-US" w:eastAsia="zh-CN"/>
        </w:rPr>
        <w:t>只有选择普通采购的预算，才必须做意向公开；急需采购或“协议、批量、定点、商城、卖场”，无需做采购意向公开</w:t>
      </w:r>
      <w:r>
        <w:rPr>
          <w:rFonts w:hint="eastAsia"/>
          <w:b/>
          <w:bCs/>
          <w:color w:val="FF0000"/>
        </w:rPr>
        <w:t>。</w:t>
      </w:r>
      <w:r>
        <w:rPr>
          <w:rFonts w:hint="eastAsia"/>
          <w:b/>
          <w:bCs/>
          <w:color w:val="FF0000"/>
          <w:lang w:val="en-US" w:eastAsia="zh-CN"/>
        </w:rPr>
        <w:t>只有开通意向公开的采购预算单位才可以选择项目类型，未开通提示无权限操作。</w:t>
      </w:r>
    </w:p>
    <w:p>
      <w:pPr>
        <w:pStyle w:val="3"/>
        <w:rPr>
          <w:rFonts w:hint="default"/>
          <w:lang w:val="en-US" w:eastAsia="zh-CN"/>
        </w:rPr>
      </w:pPr>
      <w:bookmarkStart w:id="8" w:name="_Toc5079"/>
      <w:r>
        <w:rPr>
          <w:rFonts w:hint="eastAsia"/>
          <w:lang w:val="en-US" w:eastAsia="zh-CN"/>
        </w:rPr>
        <w:t>采购意向</w:t>
      </w:r>
      <w:bookmarkEnd w:id="8"/>
    </w:p>
    <w:p>
      <w:pPr>
        <w:rPr>
          <w:szCs w:val="21"/>
        </w:rPr>
      </w:pPr>
      <w:r>
        <w:rPr>
          <w:rFonts w:hint="eastAsia"/>
          <w:szCs w:val="21"/>
        </w:rPr>
        <w:t>以采购</w:t>
      </w:r>
      <w:r>
        <w:rPr>
          <w:rFonts w:hint="eastAsia"/>
          <w:szCs w:val="21"/>
          <w:lang w:val="en-US" w:eastAsia="zh-CN"/>
        </w:rPr>
        <w:t>预算</w:t>
      </w:r>
      <w:r>
        <w:rPr>
          <w:rFonts w:hint="eastAsia"/>
          <w:szCs w:val="21"/>
        </w:rPr>
        <w:t>单位身份登入用户系统，</w:t>
      </w:r>
      <w:r>
        <w:rPr>
          <w:rFonts w:hint="eastAsia"/>
          <w:szCs w:val="21"/>
          <w:lang w:val="en-US" w:eastAsia="zh-CN"/>
        </w:rPr>
        <w:t>点击采购意向</w:t>
      </w:r>
      <w:r>
        <w:rPr>
          <w:rFonts w:hint="eastAsia"/>
          <w:szCs w:val="21"/>
        </w:rPr>
        <w:t>，如下图：</w:t>
      </w:r>
    </w:p>
    <w:p>
      <w:pPr>
        <w:widowControl/>
        <w:jc w:val="center"/>
        <w:rPr>
          <w:rFonts w:ascii="宋体" w:hAnsi="宋体" w:cs="宋体"/>
          <w:kern w:val="0"/>
          <w:sz w:val="24"/>
        </w:rPr>
      </w:pPr>
      <w:r>
        <w:drawing>
          <wp:inline distT="0" distB="0" distL="114300" distR="114300">
            <wp:extent cx="5730240" cy="1883410"/>
            <wp:effectExtent l="0" t="0" r="10160" b="889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6"/>
                    <a:stretch>
                      <a:fillRect/>
                    </a:stretch>
                  </pic:blipFill>
                  <pic:spPr>
                    <a:xfrm>
                      <a:off x="0" y="0"/>
                      <a:ext cx="5730240" cy="1883410"/>
                    </a:xfrm>
                    <a:prstGeom prst="rect">
                      <a:avLst/>
                    </a:prstGeom>
                    <a:noFill/>
                    <a:ln>
                      <a:noFill/>
                    </a:ln>
                  </pic:spPr>
                </pic:pic>
              </a:graphicData>
            </a:graphic>
          </wp:inline>
        </w:drawing>
      </w:r>
    </w:p>
    <w:p>
      <w:pPr>
        <w:rPr>
          <w:rFonts w:hint="default" w:eastAsia="宋体"/>
          <w:b/>
          <w:bCs/>
          <w:color w:val="FF0000"/>
          <w:lang w:val="en-US" w:eastAsia="zh-CN"/>
        </w:rPr>
      </w:pPr>
      <w:r>
        <w:rPr>
          <w:rFonts w:hint="eastAsia"/>
          <w:b/>
          <w:bCs/>
          <w:color w:val="FF0000"/>
          <w:lang w:val="en-US" w:eastAsia="zh-CN"/>
        </w:rPr>
        <w:t>只有选择普通采购的预算，才必须做意向公开；急需采购或“协议、批量、定点、商城、卖场”，无需做采购意向公开</w:t>
      </w:r>
      <w:r>
        <w:rPr>
          <w:rFonts w:hint="eastAsia"/>
          <w:b/>
          <w:bCs/>
          <w:color w:val="FF0000"/>
        </w:rPr>
        <w:t>。</w:t>
      </w:r>
      <w:r>
        <w:rPr>
          <w:rFonts w:hint="eastAsia"/>
          <w:b/>
          <w:bCs/>
          <w:color w:val="FF0000"/>
          <w:lang w:val="en-US" w:eastAsia="zh-CN"/>
        </w:rPr>
        <w:t>只有开通意向公开的采购预算单位才可以选择项目类型，未开通提示无权限操作。</w:t>
      </w:r>
    </w:p>
    <w:p>
      <w:pPr>
        <w:pStyle w:val="3"/>
        <w:rPr>
          <w:rFonts w:hint="default"/>
          <w:lang w:val="en-US" w:eastAsia="zh-CN"/>
        </w:rPr>
      </w:pPr>
      <w:bookmarkStart w:id="9" w:name="_Toc22594"/>
      <w:r>
        <w:rPr>
          <w:rFonts w:hint="eastAsia"/>
          <w:lang w:val="en-US" w:eastAsia="zh-CN"/>
        </w:rPr>
        <w:t>申报采购计划</w:t>
      </w:r>
      <w:bookmarkEnd w:id="9"/>
    </w:p>
    <w:p>
      <w:pPr>
        <w:rPr>
          <w:szCs w:val="21"/>
        </w:rPr>
      </w:pPr>
      <w:r>
        <w:rPr>
          <w:rFonts w:hint="eastAsia"/>
          <w:szCs w:val="21"/>
        </w:rPr>
        <w:t>以采购</w:t>
      </w:r>
      <w:r>
        <w:rPr>
          <w:rFonts w:hint="eastAsia"/>
          <w:szCs w:val="21"/>
          <w:lang w:val="en-US" w:eastAsia="zh-CN"/>
        </w:rPr>
        <w:t>预算</w:t>
      </w:r>
      <w:r>
        <w:rPr>
          <w:rFonts w:hint="eastAsia"/>
          <w:szCs w:val="21"/>
        </w:rPr>
        <w:t>单位身份登入用户系统，</w:t>
      </w:r>
      <w:r>
        <w:rPr>
          <w:rFonts w:hint="eastAsia"/>
          <w:szCs w:val="21"/>
          <w:lang w:val="en-US" w:eastAsia="zh-CN"/>
        </w:rPr>
        <w:t>点击申报采购计划</w:t>
      </w:r>
      <w:r>
        <w:rPr>
          <w:rFonts w:hint="eastAsia"/>
          <w:szCs w:val="21"/>
        </w:rPr>
        <w:t>，如下图：</w:t>
      </w:r>
    </w:p>
    <w:p>
      <w:pPr>
        <w:widowControl/>
        <w:jc w:val="center"/>
        <w:rPr>
          <w:rFonts w:ascii="宋体" w:hAnsi="宋体" w:cs="宋体"/>
          <w:kern w:val="0"/>
          <w:sz w:val="24"/>
        </w:rPr>
      </w:pPr>
      <w:r>
        <w:drawing>
          <wp:inline distT="0" distB="0" distL="114300" distR="114300">
            <wp:extent cx="5724525" cy="2331085"/>
            <wp:effectExtent l="0" t="0" r="3175" b="57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7"/>
                    <a:stretch>
                      <a:fillRect/>
                    </a:stretch>
                  </pic:blipFill>
                  <pic:spPr>
                    <a:xfrm>
                      <a:off x="0" y="0"/>
                      <a:ext cx="5724525" cy="2331085"/>
                    </a:xfrm>
                    <a:prstGeom prst="rect">
                      <a:avLst/>
                    </a:prstGeom>
                    <a:noFill/>
                    <a:ln>
                      <a:noFill/>
                    </a:ln>
                  </pic:spPr>
                </pic:pic>
              </a:graphicData>
            </a:graphic>
          </wp:inline>
        </w:drawing>
      </w:r>
    </w:p>
    <w:p>
      <w:pPr>
        <w:rPr>
          <w:rFonts w:hint="eastAsia"/>
          <w:lang w:val="en-US" w:eastAsia="zh-CN"/>
        </w:rPr>
      </w:pPr>
      <w:r>
        <w:rPr>
          <w:rFonts w:hint="eastAsia"/>
          <w:lang w:val="en-US" w:eastAsia="zh-CN"/>
        </w:rPr>
        <w:t>点击新增采购计划，如下图：</w:t>
      </w:r>
    </w:p>
    <w:p>
      <w:r>
        <w:drawing>
          <wp:inline distT="0" distB="0" distL="114300" distR="114300">
            <wp:extent cx="5724525" cy="2327275"/>
            <wp:effectExtent l="0" t="0" r="3175" b="952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8"/>
                    <a:stretch>
                      <a:fillRect/>
                    </a:stretch>
                  </pic:blipFill>
                  <pic:spPr>
                    <a:xfrm>
                      <a:off x="0" y="0"/>
                      <a:ext cx="5724525" cy="2327275"/>
                    </a:xfrm>
                    <a:prstGeom prst="rect">
                      <a:avLst/>
                    </a:prstGeom>
                    <a:noFill/>
                    <a:ln>
                      <a:noFill/>
                    </a:ln>
                  </pic:spPr>
                </pic:pic>
              </a:graphicData>
            </a:graphic>
          </wp:inline>
        </w:drawing>
      </w:r>
    </w:p>
    <w:p>
      <w:pPr>
        <w:rPr>
          <w:rFonts w:hint="eastAsia"/>
          <w:lang w:val="en-US" w:eastAsia="zh-CN"/>
        </w:rPr>
      </w:pPr>
      <w:r>
        <w:rPr>
          <w:rFonts w:hint="eastAsia"/>
          <w:lang w:val="en-US" w:eastAsia="zh-CN"/>
        </w:rPr>
        <w:t>采购需求管理，增加了4个附件，审查意见书、采购实施计划、采购需求、采购需求调查报告</w:t>
      </w:r>
    </w:p>
    <w:p>
      <w:r>
        <w:drawing>
          <wp:inline distT="0" distB="0" distL="114300" distR="114300">
            <wp:extent cx="5730240" cy="2308860"/>
            <wp:effectExtent l="0" t="0" r="10160" b="254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9"/>
                    <a:stretch>
                      <a:fillRect/>
                    </a:stretch>
                  </pic:blipFill>
                  <pic:spPr>
                    <a:xfrm>
                      <a:off x="0" y="0"/>
                      <a:ext cx="5730240" cy="2308860"/>
                    </a:xfrm>
                    <a:prstGeom prst="rect">
                      <a:avLst/>
                    </a:prstGeom>
                    <a:noFill/>
                    <a:ln>
                      <a:noFill/>
                    </a:ln>
                  </pic:spPr>
                </pic:pic>
              </a:graphicData>
            </a:graphic>
          </wp:inline>
        </w:drawing>
      </w:r>
    </w:p>
    <w:p>
      <w:pPr>
        <w:rPr>
          <w:rFonts w:hint="default"/>
          <w:lang w:val="en-US" w:eastAsia="zh-CN"/>
        </w:rPr>
      </w:pPr>
      <w:r>
        <w:rPr>
          <w:rFonts w:hint="eastAsia"/>
          <w:b/>
          <w:bCs/>
          <w:color w:val="FF0000"/>
          <w:lang w:val="en-US" w:eastAsia="zh-CN"/>
        </w:rPr>
        <w:t>只有选择普通采购的预算，采购实施计划和采购需求必须上传；急需采购或“协议、批量、定点、商城、卖场”，采购实施计划和采购需求非必须上传。审查意见书和采购需求调查报告为非必填。</w:t>
      </w:r>
    </w:p>
    <w:p>
      <w:pPr>
        <w:rPr>
          <w:rFonts w:hint="eastAsia"/>
          <w:lang w:val="en-US" w:eastAsia="zh-CN"/>
        </w:rPr>
      </w:pPr>
      <w:r>
        <w:rPr>
          <w:rFonts w:hint="eastAsia"/>
          <w:lang w:val="en-US" w:eastAsia="zh-CN"/>
        </w:rPr>
        <w:t>点击新增条目，如下图：</w:t>
      </w:r>
    </w:p>
    <w:p>
      <w:r>
        <w:drawing>
          <wp:inline distT="0" distB="0" distL="114300" distR="114300">
            <wp:extent cx="5727700" cy="2131060"/>
            <wp:effectExtent l="0" t="0" r="0" b="254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0"/>
                    <a:stretch>
                      <a:fillRect/>
                    </a:stretch>
                  </pic:blipFill>
                  <pic:spPr>
                    <a:xfrm>
                      <a:off x="0" y="0"/>
                      <a:ext cx="5727700" cy="2131060"/>
                    </a:xfrm>
                    <a:prstGeom prst="rect">
                      <a:avLst/>
                    </a:prstGeom>
                    <a:noFill/>
                    <a:ln>
                      <a:noFill/>
                    </a:ln>
                  </pic:spPr>
                </pic:pic>
              </a:graphicData>
            </a:graphic>
          </wp:inline>
        </w:drawing>
      </w:r>
    </w:p>
    <w:p>
      <w:pPr>
        <w:rPr>
          <w:rFonts w:hint="eastAsia"/>
          <w:lang w:val="en-US" w:eastAsia="zh-CN"/>
        </w:rPr>
      </w:pPr>
      <w:r>
        <w:rPr>
          <w:rFonts w:hint="eastAsia"/>
          <w:lang w:val="en-US" w:eastAsia="zh-CN"/>
        </w:rPr>
        <w:t>点击年度预算名称，如下图：</w:t>
      </w:r>
    </w:p>
    <w:p>
      <w:r>
        <w:drawing>
          <wp:inline distT="0" distB="0" distL="114300" distR="114300">
            <wp:extent cx="5724525" cy="2329815"/>
            <wp:effectExtent l="0" t="0" r="3175" b="698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1"/>
                    <a:stretch>
                      <a:fillRect/>
                    </a:stretch>
                  </pic:blipFill>
                  <pic:spPr>
                    <a:xfrm>
                      <a:off x="0" y="0"/>
                      <a:ext cx="5724525" cy="2329815"/>
                    </a:xfrm>
                    <a:prstGeom prst="rect">
                      <a:avLst/>
                    </a:prstGeom>
                    <a:noFill/>
                    <a:ln>
                      <a:noFill/>
                    </a:ln>
                  </pic:spPr>
                </pic:pic>
              </a:graphicData>
            </a:graphic>
          </wp:inline>
        </w:drawing>
      </w:r>
    </w:p>
    <w:p>
      <w:pPr>
        <w:rPr>
          <w:rFonts w:hint="default" w:eastAsia="宋体"/>
          <w:b/>
          <w:bCs/>
          <w:color w:val="FF0000"/>
          <w:lang w:val="en-US" w:eastAsia="zh-CN"/>
        </w:rPr>
      </w:pPr>
      <w:r>
        <w:rPr>
          <w:rFonts w:hint="eastAsia"/>
          <w:b/>
          <w:bCs/>
          <w:color w:val="FF0000"/>
          <w:lang w:val="en-US" w:eastAsia="zh-CN"/>
        </w:rPr>
        <w:t>如果没有对应预算信息，请查看意向公开是否过了截止时间。可以挑选到上一年度12月1日-12月31日采购意向审核通过的预算（比如：2022年可以挑选到2021年12月1日-2021年12月31日采购意向审核通过的预算）。</w:t>
      </w:r>
    </w:p>
    <w:p>
      <w:pPr>
        <w:rPr>
          <w:rFonts w:hint="default"/>
          <w:lang w:val="en-US" w:eastAsia="zh-CN"/>
        </w:rPr>
      </w:pPr>
    </w:p>
    <w:p>
      <w:pPr>
        <w:pStyle w:val="2"/>
        <w:rPr>
          <w:kern w:val="0"/>
        </w:rPr>
      </w:pPr>
      <w:bookmarkStart w:id="10" w:name="_Toc20678"/>
      <w:r>
        <w:rPr>
          <w:rFonts w:hint="eastAsia"/>
          <w:kern w:val="0"/>
          <w:lang w:val="en-US" w:eastAsia="zh-CN"/>
        </w:rPr>
        <w:t>一体化平台功能</w:t>
      </w:r>
      <w:bookmarkEnd w:id="10"/>
    </w:p>
    <w:p>
      <w:r>
        <w:rPr>
          <w:rFonts w:hint="eastAsia"/>
          <w:lang w:val="en-US" w:eastAsia="zh-CN"/>
        </w:rPr>
        <w:t>一体化平台功能，采购单位主要涉及到申报采购计划、组建分包、合同备案及验收单、手动关联一体化预算</w:t>
      </w:r>
      <w:r>
        <w:rPr>
          <w:rFonts w:hint="eastAsia"/>
        </w:rPr>
        <w:t>。</w:t>
      </w:r>
    </w:p>
    <w:p>
      <w:pPr>
        <w:pStyle w:val="3"/>
        <w:rPr>
          <w:rFonts w:hint="default"/>
          <w:lang w:val="en-US" w:eastAsia="zh-CN"/>
        </w:rPr>
      </w:pPr>
      <w:bookmarkStart w:id="11" w:name="_Toc10395"/>
      <w:r>
        <w:rPr>
          <w:rFonts w:hint="eastAsia"/>
          <w:lang w:val="en-US" w:eastAsia="zh-CN"/>
        </w:rPr>
        <w:t>采购预算</w:t>
      </w:r>
      <w:bookmarkEnd w:id="11"/>
    </w:p>
    <w:p>
      <w:pPr>
        <w:rPr>
          <w:rFonts w:hint="eastAsia"/>
          <w:lang w:val="en-US" w:eastAsia="zh-CN"/>
        </w:rPr>
      </w:pPr>
      <w:r>
        <w:rPr>
          <w:rFonts w:hint="eastAsia"/>
          <w:lang w:val="en-US" w:eastAsia="zh-CN"/>
        </w:rPr>
        <w:t>采购预算分为两种类型，一种是新增预算（即虚拟预算），由采购办手动新增用于一体化预算还未下来的情况，具体有相关规定，按照相关规定申请，后续涉及关联预算推送一体化进行支付；一种是来源于一体化预算，采购人在一体化平台申报通过后，一体化会将预算推送至交易平台；</w:t>
      </w:r>
    </w:p>
    <w:p>
      <w:pPr>
        <w:pStyle w:val="46"/>
        <w:numPr>
          <w:ilvl w:val="0"/>
          <w:numId w:val="2"/>
        </w:numPr>
        <w:ind w:leftChars="0"/>
        <w:rPr>
          <w:rFonts w:hint="eastAsia"/>
          <w:lang w:val="en-US" w:eastAsia="zh-CN"/>
        </w:rPr>
      </w:pPr>
      <w:r>
        <w:t>采购预算单位</w:t>
      </w:r>
      <w:r>
        <w:rPr>
          <w:rFonts w:hint="eastAsia"/>
          <w:lang w:val="en-US" w:eastAsia="zh-CN"/>
        </w:rPr>
        <w:t>在一体化平台预算审核通过之后，一体化平台会把对应审核通过的采购预算信息推送到政府采购系统；</w:t>
      </w:r>
      <w:r>
        <w:rPr>
          <w:rFonts w:hint="eastAsia"/>
          <w:szCs w:val="21"/>
        </w:rPr>
        <w:t>采购办可以查看本辖区内的</w:t>
      </w:r>
      <w:r>
        <w:rPr>
          <w:rFonts w:hint="eastAsia"/>
          <w:szCs w:val="21"/>
          <w:lang w:val="en-US" w:eastAsia="zh-CN"/>
        </w:rPr>
        <w:t>一体化平台推送的采购预算</w:t>
      </w:r>
      <w:r>
        <w:rPr>
          <w:rFonts w:hint="eastAsia"/>
          <w:lang w:val="en-US" w:eastAsia="zh-CN"/>
        </w:rPr>
        <w:t>；</w:t>
      </w:r>
    </w:p>
    <w:p>
      <w:pPr>
        <w:pStyle w:val="46"/>
        <w:numPr>
          <w:ilvl w:val="0"/>
          <w:numId w:val="2"/>
        </w:numPr>
        <w:ind w:leftChars="0"/>
        <w:rPr>
          <w:rFonts w:hint="eastAsia"/>
          <w:lang w:val="en-US" w:eastAsia="zh-CN"/>
        </w:rPr>
      </w:pPr>
      <w:r>
        <w:rPr>
          <w:rFonts w:hint="eastAsia"/>
          <w:lang w:val="en-US" w:eastAsia="zh-CN"/>
        </w:rPr>
        <w:t>要求本辖区内所有采购预算单位中基本信息的单位预算编码同一体化单位基本信息中的预算编码一致，否则影响后期流程。请采购办审核本地采购预算单位基本信息时，先核对是否一致，再进行审核通过。</w:t>
      </w:r>
    </w:p>
    <w:p>
      <w:pPr>
        <w:pStyle w:val="46"/>
        <w:numPr>
          <w:ilvl w:val="0"/>
          <w:numId w:val="0"/>
        </w:numPr>
        <w:ind w:leftChars="200"/>
        <w:rPr>
          <w:rFonts w:hint="default"/>
          <w:lang w:val="en-US" w:eastAsia="zh-CN"/>
        </w:rPr>
      </w:pPr>
      <w:r>
        <w:rPr>
          <w:rFonts w:hint="eastAsia"/>
          <w:lang w:val="en-US" w:eastAsia="zh-CN"/>
        </w:rPr>
        <w:t>3、只由一体化预算完全未使用情况下，才能进行预算调整，在一体化系统调整后，找对应采购办进行批量重置预算匹配，匹配后成功后，预算将进行相应的变更；如一体化预算存在使用情况，必须删除至最初预算未使用状态，如无法回到一体化最初未使用的状态，无法进行变更（调增调减）预算，即使一体化调整了，交易平台进行批量重置预算匹配将无法变更；请在一体化平台重新去新增新的一笔预算。</w:t>
      </w:r>
      <w:bookmarkStart w:id="16" w:name="_GoBack"/>
      <w:bookmarkEnd w:id="16"/>
    </w:p>
    <w:p>
      <w:pPr>
        <w:pStyle w:val="46"/>
        <w:numPr>
          <w:numId w:val="0"/>
        </w:numPr>
        <w:ind w:leftChars="200"/>
        <w:rPr>
          <w:rFonts w:hint="eastAsia"/>
          <w:lang w:val="en-US" w:eastAsia="zh-CN"/>
        </w:rPr>
      </w:pPr>
    </w:p>
    <w:p>
      <w:pPr>
        <w:pStyle w:val="46"/>
        <w:numPr>
          <w:ilvl w:val="0"/>
          <w:numId w:val="0"/>
        </w:numPr>
        <w:ind w:leftChars="200"/>
        <w:rPr>
          <w:rFonts w:hint="eastAsia"/>
          <w:lang w:val="en-US" w:eastAsia="zh-CN"/>
        </w:rPr>
      </w:pPr>
      <w:r>
        <w:rPr>
          <w:rFonts w:hint="eastAsia"/>
          <w:lang w:val="en-US" w:eastAsia="zh-CN"/>
        </w:rPr>
        <w:t>注：单位所在地区化代码也需一致。</w:t>
      </w:r>
    </w:p>
    <w:p>
      <w:pPr>
        <w:rPr>
          <w:rFonts w:hint="default"/>
          <w:lang w:val="en-US" w:eastAsia="zh-CN"/>
        </w:rPr>
      </w:pPr>
    </w:p>
    <w:p>
      <w:pPr>
        <w:rPr>
          <w:rFonts w:hint="default"/>
          <w:lang w:val="en-US" w:eastAsia="zh-CN"/>
        </w:rPr>
      </w:pPr>
      <w:r>
        <w:drawing>
          <wp:inline distT="0" distB="0" distL="114300" distR="114300">
            <wp:extent cx="5730240" cy="1713230"/>
            <wp:effectExtent l="0" t="0" r="1016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5730240" cy="1713230"/>
                    </a:xfrm>
                    <a:prstGeom prst="rect">
                      <a:avLst/>
                    </a:prstGeom>
                    <a:noFill/>
                    <a:ln>
                      <a:noFill/>
                    </a:ln>
                  </pic:spPr>
                </pic:pic>
              </a:graphicData>
            </a:graphic>
          </wp:inline>
        </w:drawing>
      </w:r>
    </w:p>
    <w:p>
      <w:pPr>
        <w:pStyle w:val="3"/>
        <w:rPr>
          <w:rFonts w:hint="default"/>
          <w:lang w:val="en-US" w:eastAsia="zh-CN"/>
        </w:rPr>
      </w:pPr>
      <w:bookmarkStart w:id="12" w:name="_Toc25833"/>
      <w:r>
        <w:rPr>
          <w:rFonts w:hint="eastAsia"/>
          <w:lang w:val="en-US" w:eastAsia="zh-CN"/>
        </w:rPr>
        <w:t>申报采购计划</w:t>
      </w:r>
      <w:bookmarkEnd w:id="12"/>
    </w:p>
    <w:p>
      <w:pPr>
        <w:rPr>
          <w:szCs w:val="21"/>
        </w:rPr>
      </w:pPr>
      <w:r>
        <w:rPr>
          <w:rFonts w:hint="eastAsia"/>
          <w:szCs w:val="21"/>
        </w:rPr>
        <w:t>以采购</w:t>
      </w:r>
      <w:r>
        <w:rPr>
          <w:rFonts w:hint="eastAsia"/>
          <w:szCs w:val="21"/>
          <w:lang w:val="en-US" w:eastAsia="zh-CN"/>
        </w:rPr>
        <w:t>预算</w:t>
      </w:r>
      <w:r>
        <w:rPr>
          <w:rFonts w:hint="eastAsia"/>
          <w:szCs w:val="21"/>
        </w:rPr>
        <w:t>单位身份登入用户系统，</w:t>
      </w:r>
      <w:r>
        <w:rPr>
          <w:rFonts w:hint="eastAsia"/>
          <w:szCs w:val="21"/>
          <w:lang w:val="en-US" w:eastAsia="zh-CN"/>
        </w:rPr>
        <w:t>点击申报采购计划</w:t>
      </w:r>
      <w:r>
        <w:rPr>
          <w:rFonts w:hint="eastAsia"/>
          <w:szCs w:val="21"/>
        </w:rPr>
        <w:t>，如下图：</w:t>
      </w:r>
    </w:p>
    <w:p>
      <w:pPr>
        <w:widowControl/>
        <w:jc w:val="center"/>
        <w:rPr>
          <w:rFonts w:ascii="宋体" w:hAnsi="宋体" w:cs="宋体"/>
          <w:kern w:val="0"/>
          <w:sz w:val="24"/>
        </w:rPr>
      </w:pPr>
      <w:r>
        <w:drawing>
          <wp:inline distT="0" distB="0" distL="114300" distR="114300">
            <wp:extent cx="5724525" cy="1793875"/>
            <wp:effectExtent l="0" t="0" r="317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724525" cy="1793875"/>
                    </a:xfrm>
                    <a:prstGeom prst="rect">
                      <a:avLst/>
                    </a:prstGeom>
                    <a:noFill/>
                    <a:ln>
                      <a:noFill/>
                    </a:ln>
                  </pic:spPr>
                </pic:pic>
              </a:graphicData>
            </a:graphic>
          </wp:inline>
        </w:drawing>
      </w:r>
    </w:p>
    <w:p>
      <w:pPr>
        <w:rPr>
          <w:rFonts w:hint="eastAsia"/>
          <w:lang w:val="en-US" w:eastAsia="zh-CN"/>
        </w:rPr>
      </w:pPr>
      <w:r>
        <w:rPr>
          <w:rFonts w:hint="eastAsia"/>
          <w:lang w:val="en-US" w:eastAsia="zh-CN"/>
        </w:rPr>
        <w:t>点击新增采购计划，如下图：</w:t>
      </w:r>
    </w:p>
    <w:p>
      <w:r>
        <w:drawing>
          <wp:inline distT="0" distB="0" distL="114300" distR="114300">
            <wp:extent cx="5724525" cy="2327275"/>
            <wp:effectExtent l="0" t="0" r="3175" b="952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8"/>
                    <a:stretch>
                      <a:fillRect/>
                    </a:stretch>
                  </pic:blipFill>
                  <pic:spPr>
                    <a:xfrm>
                      <a:off x="0" y="0"/>
                      <a:ext cx="5724525" cy="2327275"/>
                    </a:xfrm>
                    <a:prstGeom prst="rect">
                      <a:avLst/>
                    </a:prstGeom>
                    <a:noFill/>
                    <a:ln>
                      <a:noFill/>
                    </a:ln>
                  </pic:spPr>
                </pic:pic>
              </a:graphicData>
            </a:graphic>
          </wp:inline>
        </w:drawing>
      </w:r>
    </w:p>
    <w:p>
      <w:r>
        <w:drawing>
          <wp:inline distT="0" distB="0" distL="114300" distR="114300">
            <wp:extent cx="5730240" cy="2308860"/>
            <wp:effectExtent l="0" t="0" r="10160" b="254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9"/>
                    <a:stretch>
                      <a:fillRect/>
                    </a:stretch>
                  </pic:blipFill>
                  <pic:spPr>
                    <a:xfrm>
                      <a:off x="0" y="0"/>
                      <a:ext cx="5730240" cy="2308860"/>
                    </a:xfrm>
                    <a:prstGeom prst="rect">
                      <a:avLst/>
                    </a:prstGeom>
                    <a:noFill/>
                    <a:ln>
                      <a:noFill/>
                    </a:ln>
                  </pic:spPr>
                </pic:pic>
              </a:graphicData>
            </a:graphic>
          </wp:inline>
        </w:drawing>
      </w:r>
    </w:p>
    <w:p>
      <w:pPr>
        <w:rPr>
          <w:rFonts w:hint="eastAsia"/>
          <w:lang w:val="en-US" w:eastAsia="zh-CN"/>
        </w:rPr>
      </w:pPr>
      <w:r>
        <w:rPr>
          <w:rFonts w:hint="eastAsia"/>
          <w:lang w:val="en-US" w:eastAsia="zh-CN"/>
        </w:rPr>
        <w:t>点击新增条目，如下图：</w:t>
      </w:r>
    </w:p>
    <w:p>
      <w:r>
        <w:drawing>
          <wp:inline distT="0" distB="0" distL="114300" distR="114300">
            <wp:extent cx="5727700" cy="2131060"/>
            <wp:effectExtent l="0" t="0" r="0" b="254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20"/>
                    <a:stretch>
                      <a:fillRect/>
                    </a:stretch>
                  </pic:blipFill>
                  <pic:spPr>
                    <a:xfrm>
                      <a:off x="0" y="0"/>
                      <a:ext cx="5727700" cy="2131060"/>
                    </a:xfrm>
                    <a:prstGeom prst="rect">
                      <a:avLst/>
                    </a:prstGeom>
                    <a:noFill/>
                    <a:ln>
                      <a:noFill/>
                    </a:ln>
                  </pic:spPr>
                </pic:pic>
              </a:graphicData>
            </a:graphic>
          </wp:inline>
        </w:drawing>
      </w:r>
    </w:p>
    <w:p>
      <w:pPr>
        <w:rPr>
          <w:rFonts w:hint="eastAsia"/>
          <w:lang w:val="en-US" w:eastAsia="zh-CN"/>
        </w:rPr>
      </w:pPr>
      <w:r>
        <w:rPr>
          <w:rFonts w:hint="eastAsia"/>
          <w:lang w:val="en-US" w:eastAsia="zh-CN"/>
        </w:rPr>
        <w:t>点击年度预算名称，如下图：</w:t>
      </w:r>
    </w:p>
    <w:p>
      <w:r>
        <w:drawing>
          <wp:inline distT="0" distB="0" distL="114300" distR="114300">
            <wp:extent cx="5724525" cy="2329815"/>
            <wp:effectExtent l="0" t="0" r="3175" b="698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21"/>
                    <a:stretch>
                      <a:fillRect/>
                    </a:stretch>
                  </pic:blipFill>
                  <pic:spPr>
                    <a:xfrm>
                      <a:off x="0" y="0"/>
                      <a:ext cx="5724525" cy="2329815"/>
                    </a:xfrm>
                    <a:prstGeom prst="rect">
                      <a:avLst/>
                    </a:prstGeom>
                    <a:noFill/>
                    <a:ln>
                      <a:noFill/>
                    </a:ln>
                  </pic:spPr>
                </pic:pic>
              </a:graphicData>
            </a:graphic>
          </wp:inline>
        </w:drawing>
      </w:r>
    </w:p>
    <w:p>
      <w:r>
        <w:drawing>
          <wp:inline distT="0" distB="0" distL="114300" distR="114300">
            <wp:extent cx="5727700" cy="2091690"/>
            <wp:effectExtent l="0" t="0" r="0" b="381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4"/>
                    <a:stretch>
                      <a:fillRect/>
                    </a:stretch>
                  </pic:blipFill>
                  <pic:spPr>
                    <a:xfrm>
                      <a:off x="0" y="0"/>
                      <a:ext cx="5727700" cy="2091690"/>
                    </a:xfrm>
                    <a:prstGeom prst="rect">
                      <a:avLst/>
                    </a:prstGeom>
                    <a:noFill/>
                    <a:ln>
                      <a:noFill/>
                    </a:ln>
                  </pic:spPr>
                </pic:pic>
              </a:graphicData>
            </a:graphic>
          </wp:inline>
        </w:drawing>
      </w:r>
    </w:p>
    <w:p>
      <w:r>
        <w:drawing>
          <wp:inline distT="0" distB="0" distL="114300" distR="114300">
            <wp:extent cx="5730875" cy="2176145"/>
            <wp:effectExtent l="0" t="0" r="9525" b="8255"/>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5"/>
                    <a:stretch>
                      <a:fillRect/>
                    </a:stretch>
                  </pic:blipFill>
                  <pic:spPr>
                    <a:xfrm>
                      <a:off x="0" y="0"/>
                      <a:ext cx="5730875" cy="2176145"/>
                    </a:xfrm>
                    <a:prstGeom prst="rect">
                      <a:avLst/>
                    </a:prstGeom>
                    <a:noFill/>
                    <a:ln>
                      <a:noFill/>
                    </a:ln>
                  </pic:spPr>
                </pic:pic>
              </a:graphicData>
            </a:graphic>
          </wp:inline>
        </w:drawing>
      </w:r>
    </w:p>
    <w:p>
      <w:pPr>
        <w:rPr>
          <w:b/>
          <w:color w:val="FF0000"/>
        </w:rPr>
      </w:pPr>
      <w:r>
        <w:rPr>
          <w:rFonts w:hint="eastAsia"/>
          <w:b/>
          <w:bCs/>
          <w:color w:val="FF0000"/>
          <w:lang w:val="en-US" w:eastAsia="zh-CN"/>
        </w:rPr>
        <w:t>年度预算包括新增的预算、一体化推送预算；</w:t>
      </w:r>
    </w:p>
    <w:p>
      <w:pPr>
        <w:pStyle w:val="3"/>
      </w:pPr>
      <w:bookmarkStart w:id="13" w:name="_Toc3276"/>
      <w:r>
        <w:rPr>
          <w:rFonts w:hint="eastAsia"/>
          <w:lang w:val="en-US" w:eastAsia="zh-CN"/>
        </w:rPr>
        <w:t>组建分包</w:t>
      </w:r>
      <w:bookmarkEnd w:id="13"/>
    </w:p>
    <w:p>
      <w:pPr>
        <w:rPr>
          <w:rFonts w:hint="default" w:eastAsia="宋体"/>
          <w:lang w:val="en-US" w:eastAsia="zh-CN"/>
        </w:rPr>
      </w:pPr>
      <w:r>
        <w:rPr>
          <w:rFonts w:hint="eastAsia"/>
          <w:lang w:val="en-US" w:eastAsia="zh-CN"/>
        </w:rPr>
        <w:t>招标代理组建分包，挑选采购条目信息时，挑选的采购条目中存在关联一体化平台的预算和指标的，组建分包所有条目的项目代码和项目名称一致方可进行组建项目</w:t>
      </w:r>
    </w:p>
    <w:p>
      <w:pPr>
        <w:jc w:val="center"/>
      </w:pPr>
      <w:r>
        <w:drawing>
          <wp:inline distT="0" distB="0" distL="114300" distR="114300">
            <wp:extent cx="5724525" cy="2136775"/>
            <wp:effectExtent l="0" t="0" r="317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724525" cy="2136775"/>
                    </a:xfrm>
                    <a:prstGeom prst="rect">
                      <a:avLst/>
                    </a:prstGeom>
                    <a:noFill/>
                    <a:ln>
                      <a:noFill/>
                    </a:ln>
                  </pic:spPr>
                </pic:pic>
              </a:graphicData>
            </a:graphic>
          </wp:inline>
        </w:drawing>
      </w:r>
    </w:p>
    <w:p>
      <w:pPr>
        <w:jc w:val="center"/>
      </w:pPr>
    </w:p>
    <w:p>
      <w:pPr>
        <w:pStyle w:val="3"/>
      </w:pPr>
      <w:bookmarkStart w:id="14" w:name="_Toc17968"/>
      <w:r>
        <w:rPr>
          <w:rFonts w:hint="eastAsia"/>
          <w:lang w:val="en-US" w:eastAsia="zh-CN"/>
        </w:rPr>
        <w:t>合同备案及验收单</w:t>
      </w:r>
      <w:bookmarkEnd w:id="14"/>
    </w:p>
    <w:p>
      <w:pPr>
        <w:jc w:val="left"/>
        <w:rPr>
          <w:rFonts w:hint="eastAsia"/>
          <w:lang w:val="en-US" w:eastAsia="zh-CN"/>
        </w:rPr>
      </w:pPr>
      <w:r>
        <w:rPr>
          <w:rFonts w:hint="eastAsia"/>
          <w:lang w:val="en-US" w:eastAsia="zh-CN"/>
        </w:rPr>
        <w:t>1、除省本级采购单位外，其他地方的采购单位与一体化支付平台完成对接是从2022年1月1日开始，预算为2022年产生的，并且使用2022年预算的项目才会推送一体化支付平台，采购人在一体化平台进行支付；使用2022年之前的预算的项目不管合同备案时间是何时，都是采用原支付方式，交易平台未与一体化对接；</w:t>
      </w:r>
    </w:p>
    <w:p>
      <w:pPr>
        <w:rPr>
          <w:rFonts w:hint="eastAsia"/>
          <w:lang w:eastAsia="zh-CN"/>
        </w:rPr>
      </w:pPr>
      <w:r>
        <w:rPr>
          <w:rFonts w:hint="eastAsia"/>
          <w:lang w:val="en-US" w:eastAsia="zh-CN"/>
        </w:rPr>
        <w:t>2、</w:t>
      </w:r>
      <w:r>
        <w:rPr>
          <w:rFonts w:hint="eastAsia"/>
        </w:rPr>
        <w:t>2022年本年度在6月22日后备案的</w:t>
      </w:r>
      <w:r>
        <w:rPr>
          <w:rFonts w:hint="eastAsia"/>
          <w:lang w:val="en-US" w:eastAsia="zh-CN"/>
        </w:rPr>
        <w:t>招标类项目（采购方式为公开、竞谈、磋商、询价、邀请、单一来源，合同备案后推送一体化支付平台）</w:t>
      </w:r>
      <w:r>
        <w:rPr>
          <w:rFonts w:hint="eastAsia"/>
        </w:rPr>
        <w:t>、</w:t>
      </w:r>
      <w:r>
        <w:rPr>
          <w:rFonts w:hint="eastAsia"/>
          <w:lang w:val="en-US" w:eastAsia="zh-CN"/>
        </w:rPr>
        <w:t>协议类（新协议采购、</w:t>
      </w:r>
      <w:r>
        <w:rPr>
          <w:rFonts w:hint="eastAsia"/>
        </w:rPr>
        <w:t>协议采购、定点采购、批量采购流程</w:t>
      </w:r>
      <w:r>
        <w:rPr>
          <w:rFonts w:hint="eastAsia"/>
          <w:lang w:eastAsia="zh-CN"/>
        </w:rPr>
        <w:t>，</w:t>
      </w:r>
      <w:r>
        <w:rPr>
          <w:rFonts w:hint="eastAsia"/>
        </w:rPr>
        <w:t>需做完验收单</w:t>
      </w:r>
      <w:r>
        <w:rPr>
          <w:rFonts w:hint="eastAsia"/>
          <w:lang w:val="en-US" w:eastAsia="zh-CN"/>
        </w:rPr>
        <w:t>才会推送一体化支付平台</w:t>
      </w:r>
      <w:r>
        <w:rPr>
          <w:rFonts w:hint="eastAsia"/>
        </w:rPr>
        <w:t>）推送项目信息至一体化平台支付中间库，由采购办进行手动推送</w:t>
      </w:r>
      <w:r>
        <w:rPr>
          <w:rFonts w:hint="eastAsia"/>
          <w:lang w:eastAsia="zh-CN"/>
        </w:rPr>
        <w:t>，</w:t>
      </w:r>
      <w:r>
        <w:rPr>
          <w:rFonts w:hint="eastAsia"/>
          <w:lang w:val="en-US" w:eastAsia="zh-CN"/>
        </w:rPr>
        <w:t>可在“新手动推送一体化”模块下查看并推送</w:t>
      </w:r>
      <w:r>
        <w:rPr>
          <w:rFonts w:hint="eastAsia"/>
          <w:lang w:eastAsia="zh-CN"/>
        </w:rPr>
        <w:t>；</w:t>
      </w:r>
    </w:p>
    <w:p>
      <w:pPr>
        <w:numPr>
          <w:ilvl w:val="0"/>
          <w:numId w:val="3"/>
        </w:numPr>
        <w:rPr>
          <w:rFonts w:hint="eastAsia"/>
          <w:lang w:val="en-US" w:eastAsia="zh-CN"/>
        </w:rPr>
      </w:pPr>
      <w:r>
        <w:rPr>
          <w:rFonts w:hint="eastAsia"/>
          <w:lang w:val="en-US" w:eastAsia="zh-CN"/>
        </w:rPr>
        <w:t>使用</w:t>
      </w:r>
      <w:r>
        <w:rPr>
          <w:rFonts w:hint="eastAsia"/>
          <w:lang w:eastAsia="zh-CN"/>
        </w:rPr>
        <w:t>2022年本年度</w:t>
      </w:r>
      <w:r>
        <w:rPr>
          <w:rFonts w:hint="eastAsia"/>
          <w:lang w:val="en-US" w:eastAsia="zh-CN"/>
        </w:rPr>
        <w:t>预算的</w:t>
      </w:r>
      <w:r>
        <w:rPr>
          <w:rFonts w:hint="eastAsia"/>
          <w:lang w:eastAsia="zh-CN"/>
        </w:rPr>
        <w:t>协议类采购项目，6月22日前做的需要退回合同备案，重新修改提交（</w:t>
      </w:r>
      <w:r>
        <w:rPr>
          <w:rFonts w:hint="eastAsia"/>
          <w:lang w:val="en-US" w:eastAsia="zh-CN"/>
        </w:rPr>
        <w:t>主要因为跟一体化重新对接，一体化需要交易平台推送合同名称、合同签订日期，但因原平台无该字段，后面对接完后，因已经完成的项目没有该字段，因此需要重新补填，可联系对应采购办退回重新填写</w:t>
      </w:r>
      <w:r>
        <w:rPr>
          <w:rFonts w:hint="eastAsia"/>
          <w:lang w:eastAsia="zh-CN"/>
        </w:rPr>
        <w:t>），做完验收单，找采购办重新进行推送；</w:t>
      </w:r>
      <w:r>
        <w:rPr>
          <w:rFonts w:hint="eastAsia"/>
          <w:lang w:val="en-US" w:eastAsia="zh-CN"/>
        </w:rPr>
        <w:t>如果做了验收单需先联系对应监管部门采购办（采购监管处）删除验收单，然后退回合同备案，进行修改提交，完成验收单后，再联系采购办推送</w:t>
      </w:r>
    </w:p>
    <w:p>
      <w:pPr>
        <w:numPr>
          <w:ilvl w:val="0"/>
          <w:numId w:val="0"/>
        </w:numPr>
      </w:pPr>
      <w:r>
        <w:drawing>
          <wp:inline distT="0" distB="0" distL="114300" distR="114300">
            <wp:extent cx="5728970" cy="1136650"/>
            <wp:effectExtent l="0" t="0" r="1143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5728970" cy="113665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4、合同备案模块下快速查看项目的预算年度和预算类型。</w:t>
      </w:r>
    </w:p>
    <w:p>
      <w:pPr>
        <w:numPr>
          <w:ilvl w:val="0"/>
          <w:numId w:val="0"/>
        </w:numPr>
        <w:rPr>
          <w:rFonts w:hint="eastAsia"/>
          <w:lang w:val="en-US" w:eastAsia="zh-CN"/>
        </w:rPr>
      </w:pPr>
      <w:r>
        <w:drawing>
          <wp:inline distT="0" distB="0" distL="114300" distR="114300">
            <wp:extent cx="5263515" cy="1953260"/>
            <wp:effectExtent l="0" t="0" r="698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8"/>
                    <a:stretch>
                      <a:fillRect/>
                    </a:stretch>
                  </pic:blipFill>
                  <pic:spPr>
                    <a:xfrm>
                      <a:off x="0" y="0"/>
                      <a:ext cx="5263515" cy="1953260"/>
                    </a:xfrm>
                    <a:prstGeom prst="rect">
                      <a:avLst/>
                    </a:prstGeom>
                    <a:noFill/>
                    <a:ln>
                      <a:noFill/>
                    </a:ln>
                  </pic:spPr>
                </pic:pic>
              </a:graphicData>
            </a:graphic>
          </wp:inline>
        </w:drawing>
      </w:r>
    </w:p>
    <w:p>
      <w:pPr>
        <w:jc w:val="left"/>
        <w:rPr>
          <w:rFonts w:hint="default"/>
          <w:lang w:val="en-US" w:eastAsia="zh-CN"/>
        </w:rPr>
      </w:pPr>
    </w:p>
    <w:p>
      <w:pPr>
        <w:jc w:val="left"/>
        <w:rPr>
          <w:rFonts w:hint="eastAsia"/>
          <w:lang w:val="en-US" w:eastAsia="zh-CN"/>
        </w:rPr>
      </w:pPr>
    </w:p>
    <w:p>
      <w:pPr>
        <w:pStyle w:val="3"/>
      </w:pPr>
      <w:bookmarkStart w:id="15" w:name="_Toc28809"/>
      <w:r>
        <w:rPr>
          <w:rFonts w:hint="eastAsia"/>
          <w:lang w:val="en-US" w:eastAsia="zh-CN"/>
        </w:rPr>
        <w:t>手动关联一体化预算</w:t>
      </w:r>
      <w:bookmarkEnd w:id="15"/>
    </w:p>
    <w:p>
      <w:pPr>
        <w:jc w:val="left"/>
        <w:rPr>
          <w:rFonts w:hint="eastAsia"/>
          <w:lang w:val="en-US" w:eastAsia="zh-CN"/>
        </w:rPr>
      </w:pPr>
    </w:p>
    <w:p>
      <w:pPr>
        <w:jc w:val="left"/>
        <w:rPr>
          <w:rFonts w:hint="eastAsia"/>
          <w:lang w:val="en-US" w:eastAsia="zh-CN"/>
        </w:rPr>
      </w:pPr>
    </w:p>
    <w:p>
      <w:pPr>
        <w:jc w:val="left"/>
        <w:rPr>
          <w:rFonts w:hint="default"/>
          <w:lang w:val="en-US"/>
        </w:rPr>
      </w:pPr>
      <w:r>
        <w:rPr>
          <w:rFonts w:hint="eastAsia"/>
          <w:lang w:val="en-US" w:eastAsia="zh-CN"/>
        </w:rPr>
        <w:t>针对全省范围采购人使用</w:t>
      </w:r>
      <w:r>
        <w:rPr>
          <w:rFonts w:hint="eastAsia"/>
        </w:rPr>
        <w:t>2022年</w:t>
      </w:r>
      <w:r>
        <w:rPr>
          <w:rFonts w:hint="eastAsia"/>
          <w:lang w:val="en-US" w:eastAsia="zh-CN"/>
        </w:rPr>
        <w:t>包括2022年之后</w:t>
      </w:r>
      <w:r>
        <w:rPr>
          <w:rFonts w:hint="eastAsia"/>
        </w:rPr>
        <w:t>的虚拟预算</w:t>
      </w:r>
      <w:r>
        <w:rPr>
          <w:rFonts w:hint="eastAsia"/>
          <w:lang w:eastAsia="zh-CN"/>
        </w:rPr>
        <w:t>（</w:t>
      </w:r>
      <w:r>
        <w:rPr>
          <w:rFonts w:hint="eastAsia"/>
          <w:lang w:val="en-US" w:eastAsia="zh-CN"/>
        </w:rPr>
        <w:t>采购办新增预算</w:t>
      </w:r>
      <w:r>
        <w:rPr>
          <w:rFonts w:hint="eastAsia"/>
          <w:lang w:eastAsia="zh-CN"/>
        </w:rPr>
        <w:t>）</w:t>
      </w:r>
      <w:r>
        <w:rPr>
          <w:rFonts w:hint="eastAsia"/>
        </w:rPr>
        <w:t>，</w:t>
      </w:r>
      <w:r>
        <w:rPr>
          <w:rFonts w:hint="eastAsia"/>
          <w:lang w:val="en-US" w:eastAsia="zh-CN"/>
        </w:rPr>
        <w:t>在交易平台走的项目，</w:t>
      </w:r>
      <w:r>
        <w:rPr>
          <w:rFonts w:hint="eastAsia"/>
        </w:rPr>
        <w:t>由采购人去一体化上</w:t>
      </w:r>
      <w:r>
        <w:rPr>
          <w:rFonts w:hint="eastAsia"/>
          <w:lang w:val="en-US" w:eastAsia="zh-CN"/>
        </w:rPr>
        <w:t>申请预算后，待一体化预算推送到交易平台后</w:t>
      </w:r>
      <w:r>
        <w:rPr>
          <w:rFonts w:hint="eastAsia"/>
        </w:rPr>
        <w:t>，</w:t>
      </w:r>
      <w:r>
        <w:rPr>
          <w:rFonts w:hint="eastAsia"/>
          <w:lang w:val="en-US" w:eastAsia="zh-CN"/>
        </w:rPr>
        <w:t>由采购人在</w:t>
      </w:r>
      <w:r>
        <w:rPr>
          <w:rFonts w:hint="eastAsia"/>
        </w:rPr>
        <w:t>手动关联一体化</w:t>
      </w:r>
      <w:r>
        <w:rPr>
          <w:rFonts w:hint="eastAsia"/>
          <w:lang w:val="en-US" w:eastAsia="zh-CN"/>
        </w:rPr>
        <w:t>模块下关联</w:t>
      </w:r>
      <w:r>
        <w:rPr>
          <w:rFonts w:hint="eastAsia"/>
        </w:rPr>
        <w:t>预算，关联后自动推送至一体化；</w:t>
      </w:r>
      <w:r>
        <w:rPr>
          <w:rFonts w:hint="eastAsia"/>
          <w:lang w:val="en-US" w:eastAsia="zh-CN"/>
        </w:rPr>
        <w:t>项目根据合同金额进行支付，关联后自动扣除对应的一体化支付金额，可进行多次分批付款，如分批付款需重新新增明细进行关联，由采购人推送一体化系统，该类项目无需联系采购办推送，是否推送查看“推送状态”。</w:t>
      </w:r>
    </w:p>
    <w:p>
      <w:pPr>
        <w:numPr>
          <w:ilvl w:val="0"/>
          <w:numId w:val="0"/>
        </w:numPr>
      </w:pPr>
      <w:r>
        <w:drawing>
          <wp:inline distT="0" distB="0" distL="114300" distR="114300">
            <wp:extent cx="5267325" cy="1645920"/>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7325" cy="1645920"/>
                    </a:xfrm>
                    <a:prstGeom prst="rect">
                      <a:avLst/>
                    </a:prstGeom>
                    <a:noFill/>
                    <a:ln>
                      <a:noFill/>
                    </a:ln>
                  </pic:spPr>
                </pic:pic>
              </a:graphicData>
            </a:graphic>
          </wp:inline>
        </w:drawing>
      </w:r>
    </w:p>
    <w:p>
      <w:pPr>
        <w:numPr>
          <w:ilvl w:val="0"/>
          <w:numId w:val="0"/>
        </w:numPr>
        <w:rPr>
          <w:rFonts w:hint="eastAsia"/>
        </w:rPr>
      </w:pPr>
    </w:p>
    <w:p>
      <w:pPr>
        <w:jc w:val="left"/>
        <w:rPr>
          <w:rFonts w:hint="default"/>
          <w:lang w:val="en-US" w:eastAsia="zh-CN"/>
        </w:rPr>
      </w:pPr>
    </w:p>
    <w:p/>
    <w:p>
      <w:pPr>
        <w:rPr>
          <w:rFonts w:hint="default" w:eastAsia="宋体"/>
          <w:b/>
          <w:bCs/>
          <w:color w:val="FF0000"/>
          <w:lang w:val="en-US" w:eastAsia="zh-CN"/>
        </w:rPr>
      </w:pPr>
      <w:r>
        <w:drawing>
          <wp:inline distT="0" distB="0" distL="114300" distR="114300">
            <wp:extent cx="5725160" cy="2732405"/>
            <wp:effectExtent l="0" t="0" r="254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5725160" cy="2732405"/>
                    </a:xfrm>
                    <a:prstGeom prst="rect">
                      <a:avLst/>
                    </a:prstGeom>
                    <a:noFill/>
                    <a:ln>
                      <a:noFill/>
                    </a:ln>
                  </pic:spPr>
                </pic:pic>
              </a:graphicData>
            </a:graphic>
          </wp:inline>
        </w:drawing>
      </w:r>
    </w:p>
    <w:sectPr>
      <w:headerReference r:id="rId5" w:type="first"/>
      <w:footerReference r:id="rId7" w:type="first"/>
      <w:headerReference r:id="rId3" w:type="default"/>
      <w:footerReference r:id="rId6" w:type="default"/>
      <w:headerReference r:id="rId4" w:type="even"/>
      <w:pgSz w:w="11906" w:h="16838"/>
      <w:pgMar w:top="2880" w:right="1440" w:bottom="288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caps/>
        <w:color w:val="000000" w:themeColor="text1"/>
      </w:rPr>
    </w:pPr>
    <w:r>
      <w:rPr>
        <w:caps/>
        <w:color w:val="000000" w:themeColor="text1"/>
      </w:rPr>
      <w:fldChar w:fldCharType="begin"/>
    </w:r>
    <w:r>
      <w:rPr>
        <w:caps/>
        <w:color w:val="000000" w:themeColor="text1"/>
      </w:rPr>
      <w:instrText xml:space="preserve">PAGE   \* MERGEFORMAT</w:instrText>
    </w:r>
    <w:r>
      <w:rPr>
        <w:caps/>
        <w:color w:val="000000" w:themeColor="text1"/>
      </w:rPr>
      <w:fldChar w:fldCharType="separate"/>
    </w:r>
    <w:r>
      <w:rPr>
        <w:caps/>
        <w:color w:val="000000" w:themeColor="text1"/>
        <w:lang w:val="zh-CN"/>
      </w:rPr>
      <w:t>1</w:t>
    </w:r>
    <w:r>
      <w:rPr>
        <w:caps/>
        <w:color w:val="000000" w:themeColor="text1"/>
      </w:rP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b/>
        <w:sz w:val="24"/>
        <w:szCs w:val="24"/>
      </w:rPr>
    </w:pPr>
    <w:r>
      <w:rPr>
        <w:rFonts w:hint="eastAsia"/>
        <w:b/>
        <w:sz w:val="24"/>
        <w:szCs w:val="24"/>
      </w:rPr>
      <w:t>江苏国泰新点软件有限公司</w:t>
    </w:r>
  </w:p>
  <w:p>
    <w:pPr>
      <w:pStyle w:val="20"/>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both"/>
    </w:pPr>
  </w:p>
  <w:p>
    <w:pPr>
      <w:pStyle w:val="21"/>
      <w:ind w:firstLine="1080" w:firstLineChars="600"/>
      <w:jc w:val="both"/>
    </w:pPr>
  </w:p>
  <w:p>
    <w:pPr>
      <w:pStyle w:val="21"/>
      <w:ind w:firstLine="1080" w:firstLineChars="600"/>
      <w:jc w:val="both"/>
    </w:pPr>
  </w:p>
  <w:p>
    <w:pPr>
      <w:pStyle w:val="21"/>
      <w:ind w:firstLine="1080" w:firstLineChars="600"/>
      <w:jc w:val="both"/>
    </w:pPr>
  </w:p>
  <w:p>
    <w:pPr>
      <w:pStyle w:val="21"/>
      <w:ind w:firstLine="1080" w:firstLineChars="600"/>
      <w:jc w:val="both"/>
    </w:pPr>
  </w:p>
  <w:p>
    <w:pPr>
      <w:pStyle w:val="21"/>
      <w:ind w:firstLine="1080" w:firstLineChars="600"/>
      <w:jc w:val="both"/>
    </w:pPr>
  </w:p>
  <w:p>
    <w:pPr>
      <w:pStyle w:val="21"/>
      <w:ind w:firstLine="1080" w:firstLineChars="600"/>
      <w:jc w:val="both"/>
    </w:pPr>
  </w:p>
  <w:p>
    <w:pPr>
      <w:pStyle w:val="21"/>
      <w:ind w:firstLine="1080" w:firstLineChars="600"/>
      <w:jc w:val="both"/>
    </w:pPr>
    <w:r>
      <w:rPr>
        <w:rFonts w:hint="eastAsia"/>
      </w:rPr>
      <w:t>江西省公共资源电子交易服务平台政府采购子系统－</w:t>
    </w:r>
    <w:r>
      <w:rPr>
        <w:rFonts w:hint="eastAsia"/>
        <w:lang w:val="en-US" w:eastAsia="zh-CN"/>
      </w:rPr>
      <w:t>一体化平台</w:t>
    </w:r>
    <w:r>
      <w:rPr>
        <w:rFonts w:hint="eastAsia"/>
      </w:rPr>
      <w:t>采购</w:t>
    </w:r>
    <w:r>
      <w:t>单位</w:t>
    </w:r>
    <w:r>
      <w:rPr>
        <w:rFonts w:hint="eastAsia"/>
      </w:rPr>
      <w:t>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Pr>
    </w:pPr>
    <w:r>
      <w:fldChar w:fldCharType="begin"/>
    </w:r>
    <w:r>
      <w:rPr>
        <w:rStyle w:val="32"/>
      </w:rPr>
      <w:instrText xml:space="preserve">PAGE  </w:instrText>
    </w:r>
    <w:r>
      <w:fldChar w:fldCharType="end"/>
    </w:r>
  </w:p>
  <w:p>
    <w:pPr>
      <w:pStyle w:val="2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752352"/>
      <w:placeholder>
        <w:docPart w:val="10792C1D70804ECE811E0A9CF92C5DF2"/>
      </w:placeholder>
      <w:temporary/>
      <w:showingPlcHdr/>
      <w15:appearance w15:val="hidden"/>
    </w:sdtPr>
    <w:sdtContent>
      <w:p>
        <w:pPr>
          <w:pStyle w:val="21"/>
        </w:pPr>
        <w:r>
          <w:rPr>
            <w:lang w:val="zh-CN"/>
          </w:rPr>
          <w:t>[在此处键入]</w:t>
        </w:r>
      </w:p>
    </w:sdtContent>
  </w:sdt>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82427"/>
    <w:multiLevelType w:val="singleLevel"/>
    <w:tmpl w:val="BC282427"/>
    <w:lvl w:ilvl="0" w:tentative="0">
      <w:start w:val="3"/>
      <w:numFmt w:val="decimal"/>
      <w:suff w:val="nothing"/>
      <w:lvlText w:val="%1、"/>
      <w:lvlJc w:val="left"/>
    </w:lvl>
  </w:abstractNum>
  <w:abstractNum w:abstractNumId="1">
    <w:nsid w:val="F62DF2F4"/>
    <w:multiLevelType w:val="singleLevel"/>
    <w:tmpl w:val="F62DF2F4"/>
    <w:lvl w:ilvl="0" w:tentative="0">
      <w:start w:val="1"/>
      <w:numFmt w:val="decimal"/>
      <w:suff w:val="nothing"/>
      <w:lvlText w:val="%1、"/>
      <w:lvlJc w:val="left"/>
    </w:lvl>
  </w:abstractNum>
  <w:abstractNum w:abstractNumId="2">
    <w:nsid w:val="0000000C"/>
    <w:multiLevelType w:val="multilevel"/>
    <w:tmpl w:val="0000000C"/>
    <w:lvl w:ilvl="0" w:tentative="0">
      <w:start w:val="1"/>
      <w:numFmt w:val="decimal"/>
      <w:pStyle w:val="2"/>
      <w:lvlText w:val="%1."/>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3"/>
      <w:lvlText w:val="%1.%2."/>
      <w:lvlJc w:val="left"/>
      <w:pPr>
        <w:tabs>
          <w:tab w:val="left" w:pos="851"/>
        </w:tabs>
        <w:ind w:left="851" w:hanging="567"/>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30"/>
        <w:szCs w:val="30"/>
        <w:u w:val="none"/>
        <w:vertAlign w:val="baseline"/>
      </w:rPr>
    </w:lvl>
    <w:lvl w:ilvl="2" w:tentative="0">
      <w:start w:val="1"/>
      <w:numFmt w:val="decimal"/>
      <w:pStyle w:val="4"/>
      <w:lvlText w:val="%1.%2.%3."/>
      <w:lvlJc w:val="left"/>
      <w:pPr>
        <w:tabs>
          <w:tab w:val="left" w:pos="709"/>
        </w:tabs>
        <w:ind w:left="709" w:hanging="709"/>
      </w:pPr>
    </w:lvl>
    <w:lvl w:ilvl="3" w:tentative="0">
      <w:start w:val="1"/>
      <w:numFmt w:val="decimal"/>
      <w:pStyle w:val="5"/>
      <w:lvlText w:val="%1.%2.%3.%4."/>
      <w:lvlJc w:val="left"/>
      <w:pPr>
        <w:tabs>
          <w:tab w:val="left" w:pos="851"/>
        </w:tabs>
        <w:ind w:left="851" w:hanging="851"/>
      </w:pPr>
    </w:lvl>
    <w:lvl w:ilvl="4" w:tentative="0">
      <w:start w:val="1"/>
      <w:numFmt w:val="decimal"/>
      <w:pStyle w:val="6"/>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NjMDc2MzI5N2U3ZWRmOTEwNmYwY2I1YjdlN2E5MjEifQ=="/>
  </w:docVars>
  <w:rsids>
    <w:rsidRoot w:val="00172A27"/>
    <w:rsid w:val="0001177B"/>
    <w:rsid w:val="00020E00"/>
    <w:rsid w:val="0002676D"/>
    <w:rsid w:val="00026EC5"/>
    <w:rsid w:val="00041295"/>
    <w:rsid w:val="000922C5"/>
    <w:rsid w:val="00096349"/>
    <w:rsid w:val="00097AA4"/>
    <w:rsid w:val="000A5412"/>
    <w:rsid w:val="000C1B4D"/>
    <w:rsid w:val="000D044F"/>
    <w:rsid w:val="000D6081"/>
    <w:rsid w:val="000E1E3C"/>
    <w:rsid w:val="000E2DC0"/>
    <w:rsid w:val="000F219B"/>
    <w:rsid w:val="000F21D4"/>
    <w:rsid w:val="000F6E7B"/>
    <w:rsid w:val="00111F16"/>
    <w:rsid w:val="00114004"/>
    <w:rsid w:val="00121D99"/>
    <w:rsid w:val="00123A16"/>
    <w:rsid w:val="00125660"/>
    <w:rsid w:val="0013469A"/>
    <w:rsid w:val="00134C29"/>
    <w:rsid w:val="001374B1"/>
    <w:rsid w:val="001427CB"/>
    <w:rsid w:val="00147849"/>
    <w:rsid w:val="00150A59"/>
    <w:rsid w:val="00161DB4"/>
    <w:rsid w:val="001638B2"/>
    <w:rsid w:val="00163D59"/>
    <w:rsid w:val="001666AC"/>
    <w:rsid w:val="00167AAC"/>
    <w:rsid w:val="00172600"/>
    <w:rsid w:val="00172A27"/>
    <w:rsid w:val="001857DF"/>
    <w:rsid w:val="0019128B"/>
    <w:rsid w:val="001A1159"/>
    <w:rsid w:val="001A58DA"/>
    <w:rsid w:val="001B38E5"/>
    <w:rsid w:val="001B3B31"/>
    <w:rsid w:val="001D6AB4"/>
    <w:rsid w:val="001E2551"/>
    <w:rsid w:val="001E5F15"/>
    <w:rsid w:val="002122F0"/>
    <w:rsid w:val="00214175"/>
    <w:rsid w:val="00214316"/>
    <w:rsid w:val="0022740D"/>
    <w:rsid w:val="00230174"/>
    <w:rsid w:val="00231982"/>
    <w:rsid w:val="002342FE"/>
    <w:rsid w:val="00235B08"/>
    <w:rsid w:val="00235F7C"/>
    <w:rsid w:val="00244493"/>
    <w:rsid w:val="00246896"/>
    <w:rsid w:val="00251DCD"/>
    <w:rsid w:val="0026432C"/>
    <w:rsid w:val="00267C53"/>
    <w:rsid w:val="0027131F"/>
    <w:rsid w:val="0027283E"/>
    <w:rsid w:val="00275CAD"/>
    <w:rsid w:val="00277B7B"/>
    <w:rsid w:val="0028783E"/>
    <w:rsid w:val="00287F27"/>
    <w:rsid w:val="002A60C8"/>
    <w:rsid w:val="002A771C"/>
    <w:rsid w:val="002E47C6"/>
    <w:rsid w:val="002E78AD"/>
    <w:rsid w:val="0030300C"/>
    <w:rsid w:val="003043ED"/>
    <w:rsid w:val="0030453E"/>
    <w:rsid w:val="00306B9E"/>
    <w:rsid w:val="003112D3"/>
    <w:rsid w:val="00317854"/>
    <w:rsid w:val="00325145"/>
    <w:rsid w:val="003324E3"/>
    <w:rsid w:val="00335D02"/>
    <w:rsid w:val="003407E9"/>
    <w:rsid w:val="0034173D"/>
    <w:rsid w:val="00342DBD"/>
    <w:rsid w:val="00344EF4"/>
    <w:rsid w:val="00362965"/>
    <w:rsid w:val="0037156B"/>
    <w:rsid w:val="00373963"/>
    <w:rsid w:val="00375B38"/>
    <w:rsid w:val="00377733"/>
    <w:rsid w:val="00382158"/>
    <w:rsid w:val="003902B2"/>
    <w:rsid w:val="00393B5C"/>
    <w:rsid w:val="003A6B69"/>
    <w:rsid w:val="003B1615"/>
    <w:rsid w:val="003B55BA"/>
    <w:rsid w:val="003D25EB"/>
    <w:rsid w:val="003D2DF4"/>
    <w:rsid w:val="003D36B0"/>
    <w:rsid w:val="003D63DB"/>
    <w:rsid w:val="003F5AA0"/>
    <w:rsid w:val="003F5CE6"/>
    <w:rsid w:val="00401871"/>
    <w:rsid w:val="004061C7"/>
    <w:rsid w:val="0041696A"/>
    <w:rsid w:val="00434C8A"/>
    <w:rsid w:val="00443E97"/>
    <w:rsid w:val="00444135"/>
    <w:rsid w:val="004469CF"/>
    <w:rsid w:val="00450093"/>
    <w:rsid w:val="00451A56"/>
    <w:rsid w:val="004672CB"/>
    <w:rsid w:val="00473C0A"/>
    <w:rsid w:val="004847D6"/>
    <w:rsid w:val="004872B4"/>
    <w:rsid w:val="00496AB6"/>
    <w:rsid w:val="004A6F72"/>
    <w:rsid w:val="004A700A"/>
    <w:rsid w:val="004B35CB"/>
    <w:rsid w:val="004C13AC"/>
    <w:rsid w:val="004C2856"/>
    <w:rsid w:val="004C4E46"/>
    <w:rsid w:val="004C60D3"/>
    <w:rsid w:val="004C7651"/>
    <w:rsid w:val="004D2958"/>
    <w:rsid w:val="004D66CD"/>
    <w:rsid w:val="004D712A"/>
    <w:rsid w:val="004E33D5"/>
    <w:rsid w:val="004E5FE4"/>
    <w:rsid w:val="004F5356"/>
    <w:rsid w:val="004F65C6"/>
    <w:rsid w:val="00514327"/>
    <w:rsid w:val="00514A44"/>
    <w:rsid w:val="0052338D"/>
    <w:rsid w:val="005337BC"/>
    <w:rsid w:val="00541C14"/>
    <w:rsid w:val="0055119E"/>
    <w:rsid w:val="00551D3A"/>
    <w:rsid w:val="00571399"/>
    <w:rsid w:val="005737A7"/>
    <w:rsid w:val="00574C52"/>
    <w:rsid w:val="00586E76"/>
    <w:rsid w:val="00590DC8"/>
    <w:rsid w:val="00591514"/>
    <w:rsid w:val="005920D7"/>
    <w:rsid w:val="00593F13"/>
    <w:rsid w:val="00596611"/>
    <w:rsid w:val="00597628"/>
    <w:rsid w:val="005A0DDC"/>
    <w:rsid w:val="005A56D9"/>
    <w:rsid w:val="005B2531"/>
    <w:rsid w:val="005B55C1"/>
    <w:rsid w:val="005D1FBD"/>
    <w:rsid w:val="005D784B"/>
    <w:rsid w:val="005E24C2"/>
    <w:rsid w:val="0060331A"/>
    <w:rsid w:val="0060363A"/>
    <w:rsid w:val="00611A0D"/>
    <w:rsid w:val="00623967"/>
    <w:rsid w:val="00623EFB"/>
    <w:rsid w:val="00626F7D"/>
    <w:rsid w:val="006362B8"/>
    <w:rsid w:val="00644CBC"/>
    <w:rsid w:val="00650475"/>
    <w:rsid w:val="00654601"/>
    <w:rsid w:val="006615D7"/>
    <w:rsid w:val="00664A4F"/>
    <w:rsid w:val="00665BB4"/>
    <w:rsid w:val="00670855"/>
    <w:rsid w:val="006825B8"/>
    <w:rsid w:val="006840A3"/>
    <w:rsid w:val="00684A87"/>
    <w:rsid w:val="00686337"/>
    <w:rsid w:val="00692B8A"/>
    <w:rsid w:val="006938F4"/>
    <w:rsid w:val="00694199"/>
    <w:rsid w:val="006A0795"/>
    <w:rsid w:val="006A142E"/>
    <w:rsid w:val="006A3297"/>
    <w:rsid w:val="006A6603"/>
    <w:rsid w:val="006B5FFF"/>
    <w:rsid w:val="006B67FB"/>
    <w:rsid w:val="006C7DB9"/>
    <w:rsid w:val="006D3861"/>
    <w:rsid w:val="006D4F6E"/>
    <w:rsid w:val="006E0346"/>
    <w:rsid w:val="006E754E"/>
    <w:rsid w:val="006F2E75"/>
    <w:rsid w:val="006F551E"/>
    <w:rsid w:val="006F674B"/>
    <w:rsid w:val="00703619"/>
    <w:rsid w:val="0071459E"/>
    <w:rsid w:val="007169CE"/>
    <w:rsid w:val="0071712A"/>
    <w:rsid w:val="00720F4D"/>
    <w:rsid w:val="00722B21"/>
    <w:rsid w:val="00730072"/>
    <w:rsid w:val="00731B36"/>
    <w:rsid w:val="00737265"/>
    <w:rsid w:val="00745E2E"/>
    <w:rsid w:val="007467BD"/>
    <w:rsid w:val="007511AC"/>
    <w:rsid w:val="007518F7"/>
    <w:rsid w:val="00751BAC"/>
    <w:rsid w:val="007535E6"/>
    <w:rsid w:val="00776C05"/>
    <w:rsid w:val="007858D0"/>
    <w:rsid w:val="007859CF"/>
    <w:rsid w:val="00792A5F"/>
    <w:rsid w:val="007B0B42"/>
    <w:rsid w:val="007B4CC0"/>
    <w:rsid w:val="007B7262"/>
    <w:rsid w:val="007C1275"/>
    <w:rsid w:val="007C3332"/>
    <w:rsid w:val="007E2AAC"/>
    <w:rsid w:val="007E3EA7"/>
    <w:rsid w:val="007F05BA"/>
    <w:rsid w:val="007F29AC"/>
    <w:rsid w:val="00806FC1"/>
    <w:rsid w:val="008121BF"/>
    <w:rsid w:val="008133C8"/>
    <w:rsid w:val="008211F0"/>
    <w:rsid w:val="00822F7B"/>
    <w:rsid w:val="0083086C"/>
    <w:rsid w:val="008412D0"/>
    <w:rsid w:val="0084443A"/>
    <w:rsid w:val="008632B2"/>
    <w:rsid w:val="008903D2"/>
    <w:rsid w:val="0089199C"/>
    <w:rsid w:val="00893D60"/>
    <w:rsid w:val="008947AD"/>
    <w:rsid w:val="00897BC2"/>
    <w:rsid w:val="008A0650"/>
    <w:rsid w:val="008A169A"/>
    <w:rsid w:val="008A369B"/>
    <w:rsid w:val="008A6B52"/>
    <w:rsid w:val="008C3EC6"/>
    <w:rsid w:val="008C4DC2"/>
    <w:rsid w:val="008C7796"/>
    <w:rsid w:val="008D0F41"/>
    <w:rsid w:val="008D10D9"/>
    <w:rsid w:val="008D36AE"/>
    <w:rsid w:val="008E1C45"/>
    <w:rsid w:val="008E2249"/>
    <w:rsid w:val="008E566E"/>
    <w:rsid w:val="00900EE7"/>
    <w:rsid w:val="00901592"/>
    <w:rsid w:val="00905CBB"/>
    <w:rsid w:val="0091413C"/>
    <w:rsid w:val="00915598"/>
    <w:rsid w:val="009245EB"/>
    <w:rsid w:val="00926A16"/>
    <w:rsid w:val="00931485"/>
    <w:rsid w:val="00935AF8"/>
    <w:rsid w:val="00936C3A"/>
    <w:rsid w:val="00950794"/>
    <w:rsid w:val="00950FB0"/>
    <w:rsid w:val="00954A57"/>
    <w:rsid w:val="00961D3D"/>
    <w:rsid w:val="00986AB5"/>
    <w:rsid w:val="009A1D1D"/>
    <w:rsid w:val="009C6E48"/>
    <w:rsid w:val="009D2778"/>
    <w:rsid w:val="009D6E0C"/>
    <w:rsid w:val="009E0BC3"/>
    <w:rsid w:val="009E67E5"/>
    <w:rsid w:val="00A0084A"/>
    <w:rsid w:val="00A100B4"/>
    <w:rsid w:val="00A10C47"/>
    <w:rsid w:val="00A20DCD"/>
    <w:rsid w:val="00A2507E"/>
    <w:rsid w:val="00A31228"/>
    <w:rsid w:val="00A33E7A"/>
    <w:rsid w:val="00A34221"/>
    <w:rsid w:val="00A35809"/>
    <w:rsid w:val="00A40DD9"/>
    <w:rsid w:val="00A56418"/>
    <w:rsid w:val="00A56814"/>
    <w:rsid w:val="00A5731D"/>
    <w:rsid w:val="00A573A1"/>
    <w:rsid w:val="00A60463"/>
    <w:rsid w:val="00A640D3"/>
    <w:rsid w:val="00A64F20"/>
    <w:rsid w:val="00A70D88"/>
    <w:rsid w:val="00A71338"/>
    <w:rsid w:val="00A76107"/>
    <w:rsid w:val="00A80427"/>
    <w:rsid w:val="00AA489E"/>
    <w:rsid w:val="00AB0930"/>
    <w:rsid w:val="00AC1EAC"/>
    <w:rsid w:val="00AD218E"/>
    <w:rsid w:val="00AE0DF7"/>
    <w:rsid w:val="00AE2F01"/>
    <w:rsid w:val="00AE6D22"/>
    <w:rsid w:val="00B152AF"/>
    <w:rsid w:val="00B174F0"/>
    <w:rsid w:val="00B317D9"/>
    <w:rsid w:val="00B33343"/>
    <w:rsid w:val="00B44564"/>
    <w:rsid w:val="00B54DF5"/>
    <w:rsid w:val="00B660F1"/>
    <w:rsid w:val="00B67F20"/>
    <w:rsid w:val="00B77879"/>
    <w:rsid w:val="00B82CEE"/>
    <w:rsid w:val="00B851E3"/>
    <w:rsid w:val="00B85DC7"/>
    <w:rsid w:val="00BA1819"/>
    <w:rsid w:val="00BB0707"/>
    <w:rsid w:val="00BB2A22"/>
    <w:rsid w:val="00BB6626"/>
    <w:rsid w:val="00BC457E"/>
    <w:rsid w:val="00BE2521"/>
    <w:rsid w:val="00BF63B3"/>
    <w:rsid w:val="00C06498"/>
    <w:rsid w:val="00C20E02"/>
    <w:rsid w:val="00C415A5"/>
    <w:rsid w:val="00C4312A"/>
    <w:rsid w:val="00C545A3"/>
    <w:rsid w:val="00C61871"/>
    <w:rsid w:val="00C67ACB"/>
    <w:rsid w:val="00C67D8C"/>
    <w:rsid w:val="00C80EC6"/>
    <w:rsid w:val="00C87211"/>
    <w:rsid w:val="00C910B7"/>
    <w:rsid w:val="00C916A3"/>
    <w:rsid w:val="00C95C6E"/>
    <w:rsid w:val="00CB6898"/>
    <w:rsid w:val="00CC4A23"/>
    <w:rsid w:val="00CD054E"/>
    <w:rsid w:val="00CE2A0B"/>
    <w:rsid w:val="00CE3C01"/>
    <w:rsid w:val="00CE4722"/>
    <w:rsid w:val="00CE5450"/>
    <w:rsid w:val="00CF5691"/>
    <w:rsid w:val="00D101C2"/>
    <w:rsid w:val="00D134B3"/>
    <w:rsid w:val="00D31313"/>
    <w:rsid w:val="00D3410E"/>
    <w:rsid w:val="00D46056"/>
    <w:rsid w:val="00D502BA"/>
    <w:rsid w:val="00D537B2"/>
    <w:rsid w:val="00D6174D"/>
    <w:rsid w:val="00D673A2"/>
    <w:rsid w:val="00D774BF"/>
    <w:rsid w:val="00D9273C"/>
    <w:rsid w:val="00DA2BD9"/>
    <w:rsid w:val="00DA2E3E"/>
    <w:rsid w:val="00DB0E70"/>
    <w:rsid w:val="00DB186D"/>
    <w:rsid w:val="00DB33C9"/>
    <w:rsid w:val="00DB5677"/>
    <w:rsid w:val="00DB6CBE"/>
    <w:rsid w:val="00DC1661"/>
    <w:rsid w:val="00DC2757"/>
    <w:rsid w:val="00DC27EB"/>
    <w:rsid w:val="00DC5A44"/>
    <w:rsid w:val="00DE0D1A"/>
    <w:rsid w:val="00DE7FAC"/>
    <w:rsid w:val="00DF3199"/>
    <w:rsid w:val="00E075C2"/>
    <w:rsid w:val="00E10B5C"/>
    <w:rsid w:val="00E259CA"/>
    <w:rsid w:val="00E313B4"/>
    <w:rsid w:val="00E32657"/>
    <w:rsid w:val="00E40566"/>
    <w:rsid w:val="00E462E5"/>
    <w:rsid w:val="00E52107"/>
    <w:rsid w:val="00E53535"/>
    <w:rsid w:val="00E57650"/>
    <w:rsid w:val="00E669FF"/>
    <w:rsid w:val="00E7308F"/>
    <w:rsid w:val="00E7418A"/>
    <w:rsid w:val="00E81B41"/>
    <w:rsid w:val="00E8561B"/>
    <w:rsid w:val="00E91371"/>
    <w:rsid w:val="00EA39A2"/>
    <w:rsid w:val="00EA56C8"/>
    <w:rsid w:val="00EB0BB2"/>
    <w:rsid w:val="00EB16EF"/>
    <w:rsid w:val="00EC4C9F"/>
    <w:rsid w:val="00ED06A1"/>
    <w:rsid w:val="00ED1F47"/>
    <w:rsid w:val="00F01626"/>
    <w:rsid w:val="00F02E5C"/>
    <w:rsid w:val="00F05CF8"/>
    <w:rsid w:val="00F56F74"/>
    <w:rsid w:val="00F75880"/>
    <w:rsid w:val="00F840F8"/>
    <w:rsid w:val="00F90386"/>
    <w:rsid w:val="00F90468"/>
    <w:rsid w:val="00F92138"/>
    <w:rsid w:val="00FA022C"/>
    <w:rsid w:val="00FA0B84"/>
    <w:rsid w:val="00FB1FA6"/>
    <w:rsid w:val="00FC2DD2"/>
    <w:rsid w:val="00FC69FC"/>
    <w:rsid w:val="00FD26E5"/>
    <w:rsid w:val="00FD77F9"/>
    <w:rsid w:val="00FE3748"/>
    <w:rsid w:val="00FE68D9"/>
    <w:rsid w:val="00FF07F9"/>
    <w:rsid w:val="00FF18B5"/>
    <w:rsid w:val="00FF5350"/>
    <w:rsid w:val="01CA1E6F"/>
    <w:rsid w:val="020E6AC4"/>
    <w:rsid w:val="023D38FA"/>
    <w:rsid w:val="026554CE"/>
    <w:rsid w:val="02882D20"/>
    <w:rsid w:val="04A50AB3"/>
    <w:rsid w:val="04FD0162"/>
    <w:rsid w:val="051B2240"/>
    <w:rsid w:val="052E36DE"/>
    <w:rsid w:val="05B95E72"/>
    <w:rsid w:val="074E224E"/>
    <w:rsid w:val="07F517B5"/>
    <w:rsid w:val="08B9061D"/>
    <w:rsid w:val="0ABE0FE6"/>
    <w:rsid w:val="0AE66B3C"/>
    <w:rsid w:val="0CC91055"/>
    <w:rsid w:val="0DA27D6A"/>
    <w:rsid w:val="0DAD2273"/>
    <w:rsid w:val="0EAB05C7"/>
    <w:rsid w:val="0F0244C3"/>
    <w:rsid w:val="105B1F0E"/>
    <w:rsid w:val="10941541"/>
    <w:rsid w:val="10993809"/>
    <w:rsid w:val="10F34261"/>
    <w:rsid w:val="112C4652"/>
    <w:rsid w:val="11394D01"/>
    <w:rsid w:val="121E748E"/>
    <w:rsid w:val="12C9681A"/>
    <w:rsid w:val="131C3A8C"/>
    <w:rsid w:val="16691222"/>
    <w:rsid w:val="16902724"/>
    <w:rsid w:val="16D46357"/>
    <w:rsid w:val="18687628"/>
    <w:rsid w:val="18A07163"/>
    <w:rsid w:val="198E2AB3"/>
    <w:rsid w:val="19F50258"/>
    <w:rsid w:val="1A3A782F"/>
    <w:rsid w:val="1AE47998"/>
    <w:rsid w:val="1B0E6BAA"/>
    <w:rsid w:val="1B124D27"/>
    <w:rsid w:val="1BD007EB"/>
    <w:rsid w:val="1BE33824"/>
    <w:rsid w:val="20420ADE"/>
    <w:rsid w:val="20BB0400"/>
    <w:rsid w:val="2165731B"/>
    <w:rsid w:val="218A68E7"/>
    <w:rsid w:val="2479382A"/>
    <w:rsid w:val="252D1085"/>
    <w:rsid w:val="252D3928"/>
    <w:rsid w:val="25E30F7F"/>
    <w:rsid w:val="263D3046"/>
    <w:rsid w:val="26A56238"/>
    <w:rsid w:val="26C2028C"/>
    <w:rsid w:val="27511F46"/>
    <w:rsid w:val="277930BC"/>
    <w:rsid w:val="27A32C80"/>
    <w:rsid w:val="28A23E94"/>
    <w:rsid w:val="28E078BD"/>
    <w:rsid w:val="294F631A"/>
    <w:rsid w:val="29A52A2A"/>
    <w:rsid w:val="29E0657D"/>
    <w:rsid w:val="2A8E502D"/>
    <w:rsid w:val="2B9A4F76"/>
    <w:rsid w:val="2BB76D3C"/>
    <w:rsid w:val="2C56447C"/>
    <w:rsid w:val="2D7D6C23"/>
    <w:rsid w:val="2E402E9B"/>
    <w:rsid w:val="2E45506F"/>
    <w:rsid w:val="30455B0F"/>
    <w:rsid w:val="30456CB1"/>
    <w:rsid w:val="31B555D0"/>
    <w:rsid w:val="326B1ED3"/>
    <w:rsid w:val="33105058"/>
    <w:rsid w:val="338E0C9F"/>
    <w:rsid w:val="345624EC"/>
    <w:rsid w:val="34AE1D60"/>
    <w:rsid w:val="372E7F96"/>
    <w:rsid w:val="390B2F1E"/>
    <w:rsid w:val="398441D3"/>
    <w:rsid w:val="39E5396D"/>
    <w:rsid w:val="39E90090"/>
    <w:rsid w:val="3B1B2D0B"/>
    <w:rsid w:val="3B5468BA"/>
    <w:rsid w:val="3B661236"/>
    <w:rsid w:val="3C126F09"/>
    <w:rsid w:val="3D0867A3"/>
    <w:rsid w:val="3D375E58"/>
    <w:rsid w:val="3FD20580"/>
    <w:rsid w:val="416451D7"/>
    <w:rsid w:val="42EF09EE"/>
    <w:rsid w:val="4318258D"/>
    <w:rsid w:val="438809F9"/>
    <w:rsid w:val="440A1E46"/>
    <w:rsid w:val="44A40D05"/>
    <w:rsid w:val="44F364D9"/>
    <w:rsid w:val="44F714BA"/>
    <w:rsid w:val="45D02DC8"/>
    <w:rsid w:val="46142C9C"/>
    <w:rsid w:val="48D52572"/>
    <w:rsid w:val="49646E0D"/>
    <w:rsid w:val="4AAC029E"/>
    <w:rsid w:val="4B5944EF"/>
    <w:rsid w:val="4B9D46C0"/>
    <w:rsid w:val="4C4E0521"/>
    <w:rsid w:val="4CA6535E"/>
    <w:rsid w:val="4CBC35C9"/>
    <w:rsid w:val="4D2244D9"/>
    <w:rsid w:val="4D701B80"/>
    <w:rsid w:val="4E294250"/>
    <w:rsid w:val="4E487A2A"/>
    <w:rsid w:val="4E6A0526"/>
    <w:rsid w:val="4F7D2BBB"/>
    <w:rsid w:val="50BB142E"/>
    <w:rsid w:val="514A7615"/>
    <w:rsid w:val="52D2675A"/>
    <w:rsid w:val="535F37C5"/>
    <w:rsid w:val="539D2195"/>
    <w:rsid w:val="57A9779C"/>
    <w:rsid w:val="5B9F0652"/>
    <w:rsid w:val="5C68174B"/>
    <w:rsid w:val="5E4E5BB1"/>
    <w:rsid w:val="5E806423"/>
    <w:rsid w:val="5F280D47"/>
    <w:rsid w:val="5FA43F76"/>
    <w:rsid w:val="601C109D"/>
    <w:rsid w:val="610E739B"/>
    <w:rsid w:val="618D013F"/>
    <w:rsid w:val="641263DD"/>
    <w:rsid w:val="6732416D"/>
    <w:rsid w:val="67AA2A13"/>
    <w:rsid w:val="6880257D"/>
    <w:rsid w:val="69337D52"/>
    <w:rsid w:val="69853D63"/>
    <w:rsid w:val="69EE35F4"/>
    <w:rsid w:val="69F8525A"/>
    <w:rsid w:val="6A544B18"/>
    <w:rsid w:val="6AE7011D"/>
    <w:rsid w:val="6BCD6D0E"/>
    <w:rsid w:val="6CDE5487"/>
    <w:rsid w:val="6CF53449"/>
    <w:rsid w:val="6D5F19AE"/>
    <w:rsid w:val="6DD90A37"/>
    <w:rsid w:val="6E072901"/>
    <w:rsid w:val="6EEA62C2"/>
    <w:rsid w:val="6FB84B45"/>
    <w:rsid w:val="717D1D46"/>
    <w:rsid w:val="72404E5F"/>
    <w:rsid w:val="73932370"/>
    <w:rsid w:val="739E2DFD"/>
    <w:rsid w:val="74780DA4"/>
    <w:rsid w:val="749166D4"/>
    <w:rsid w:val="74D06B4F"/>
    <w:rsid w:val="758305B4"/>
    <w:rsid w:val="75844456"/>
    <w:rsid w:val="770B015E"/>
    <w:rsid w:val="77630D3C"/>
    <w:rsid w:val="77825847"/>
    <w:rsid w:val="77FD246E"/>
    <w:rsid w:val="7ADB3E26"/>
    <w:rsid w:val="7B311FAE"/>
    <w:rsid w:val="7BE0019A"/>
    <w:rsid w:val="7C2B71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rFonts w:ascii="Arial" w:hAnsi="Arial"/>
      <w:b/>
      <w:bCs/>
      <w:kern w:val="44"/>
      <w:sz w:val="32"/>
      <w:szCs w:val="28"/>
    </w:rPr>
  </w:style>
  <w:style w:type="paragraph" w:styleId="3">
    <w:name w:val="heading 2"/>
    <w:basedOn w:val="1"/>
    <w:next w:val="1"/>
    <w:link w:val="45"/>
    <w:qFormat/>
    <w:uiPriority w:val="0"/>
    <w:pPr>
      <w:keepNext/>
      <w:keepLines/>
      <w:numPr>
        <w:ilvl w:val="1"/>
        <w:numId w:val="1"/>
      </w:numPr>
      <w:tabs>
        <w:tab w:val="left" w:pos="567"/>
      </w:tabs>
      <w:spacing w:before="260" w:after="260" w:line="413" w:lineRule="auto"/>
      <w:outlineLvl w:val="1"/>
    </w:pPr>
    <w:rPr>
      <w:rFonts w:ascii="Arial" w:hAnsi="Arial"/>
      <w:b/>
      <w:bCs/>
      <w:sz w:val="30"/>
      <w:szCs w:val="32"/>
    </w:rPr>
  </w:style>
  <w:style w:type="paragraph" w:styleId="4">
    <w:name w:val="heading 3"/>
    <w:basedOn w:val="1"/>
    <w:next w:val="1"/>
    <w:qFormat/>
    <w:uiPriority w:val="0"/>
    <w:pPr>
      <w:keepNext/>
      <w:keepLines/>
      <w:numPr>
        <w:ilvl w:val="2"/>
        <w:numId w:val="1"/>
      </w:numPr>
      <w:spacing w:before="260" w:after="260" w:line="413" w:lineRule="auto"/>
      <w:outlineLvl w:val="2"/>
    </w:pPr>
    <w:rPr>
      <w:rFonts w:ascii="Arial" w:hAnsi="Arial"/>
      <w:b/>
      <w:bCs/>
      <w:sz w:val="28"/>
      <w:szCs w:val="18"/>
    </w:rPr>
  </w:style>
  <w:style w:type="paragraph" w:styleId="5">
    <w:name w:val="heading 4"/>
    <w:basedOn w:val="4"/>
    <w:next w:val="1"/>
    <w:qFormat/>
    <w:uiPriority w:val="0"/>
    <w:pPr>
      <w:numPr>
        <w:ilvl w:val="3"/>
      </w:numPr>
      <w:tabs>
        <w:tab w:val="left" w:pos="851"/>
      </w:tabs>
      <w:outlineLvl w:val="3"/>
    </w:pPr>
    <w:rPr>
      <w:sz w:val="24"/>
    </w:rPr>
  </w:style>
  <w:style w:type="paragraph" w:styleId="6">
    <w:name w:val="heading 5"/>
    <w:basedOn w:val="5"/>
    <w:next w:val="1"/>
    <w:qFormat/>
    <w:uiPriority w:val="0"/>
    <w:pPr>
      <w:numPr>
        <w:ilvl w:val="4"/>
      </w:numPr>
      <w:tabs>
        <w:tab w:val="left" w:pos="992"/>
        <w:tab w:val="clear" w:pos="851"/>
      </w:tabs>
      <w:outlineLvl w:val="4"/>
    </w:pPr>
    <w:rPr>
      <w:sz w:val="21"/>
    </w:rPr>
  </w:style>
  <w:style w:type="paragraph" w:styleId="7">
    <w:name w:val="heading 6"/>
    <w:basedOn w:val="6"/>
    <w:next w:val="1"/>
    <w:qFormat/>
    <w:uiPriority w:val="0"/>
    <w:pPr>
      <w:outlineLvl w:val="5"/>
    </w:pPr>
  </w:style>
  <w:style w:type="paragraph" w:styleId="8">
    <w:name w:val="heading 7"/>
    <w:basedOn w:val="7"/>
    <w:next w:val="1"/>
    <w:qFormat/>
    <w:uiPriority w:val="0"/>
    <w:pPr>
      <w:tabs>
        <w:tab w:val="clear" w:pos="992"/>
      </w:tabs>
      <w:outlineLvl w:val="6"/>
    </w:pPr>
  </w:style>
  <w:style w:type="paragraph" w:styleId="9">
    <w:name w:val="heading 8"/>
    <w:basedOn w:val="8"/>
    <w:next w:val="1"/>
    <w:qFormat/>
    <w:uiPriority w:val="0"/>
    <w:pPr>
      <w:outlineLvl w:val="7"/>
    </w:pPr>
  </w:style>
  <w:style w:type="paragraph" w:styleId="10">
    <w:name w:val="heading 9"/>
    <w:basedOn w:val="9"/>
    <w:next w:val="1"/>
    <w:qFormat/>
    <w:uiPriority w:val="0"/>
    <w:pPr>
      <w:outlineLvl w:val="8"/>
    </w:pPr>
  </w:style>
  <w:style w:type="character" w:default="1" w:styleId="30">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Document Map"/>
    <w:basedOn w:val="1"/>
    <w:qFormat/>
    <w:uiPriority w:val="0"/>
    <w:pPr>
      <w:shd w:val="clear" w:color="auto" w:fill="000080"/>
    </w:pPr>
  </w:style>
  <w:style w:type="paragraph" w:styleId="13">
    <w:name w:val="Body Text"/>
    <w:basedOn w:val="1"/>
    <w:qFormat/>
    <w:uiPriority w:val="0"/>
    <w:pPr>
      <w:spacing w:after="120" w:line="360" w:lineRule="auto"/>
      <w:ind w:firstLine="200" w:firstLineChars="200"/>
    </w:pPr>
    <w:rPr>
      <w:sz w:val="24"/>
    </w:rPr>
  </w:style>
  <w:style w:type="paragraph" w:styleId="14">
    <w:name w:val="Body Text Indent"/>
    <w:basedOn w:val="1"/>
    <w:qFormat/>
    <w:uiPriority w:val="0"/>
    <w:pPr>
      <w:spacing w:after="120"/>
      <w:ind w:left="420" w:leftChars="200"/>
    </w:pPr>
  </w:style>
  <w:style w:type="paragraph" w:styleId="15">
    <w:name w:val="toc 5"/>
    <w:basedOn w:val="1"/>
    <w:next w:val="1"/>
    <w:qFormat/>
    <w:uiPriority w:val="0"/>
    <w:pPr>
      <w:ind w:left="1680" w:leftChars="800"/>
    </w:pPr>
  </w:style>
  <w:style w:type="paragraph" w:styleId="16">
    <w:name w:val="toc 3"/>
    <w:basedOn w:val="1"/>
    <w:next w:val="1"/>
    <w:qFormat/>
    <w:uiPriority w:val="39"/>
    <w:pPr>
      <w:tabs>
        <w:tab w:val="left" w:pos="1680"/>
        <w:tab w:val="right" w:leader="dot" w:pos="8302"/>
      </w:tabs>
      <w:ind w:left="840" w:leftChars="400"/>
    </w:pPr>
  </w:style>
  <w:style w:type="paragraph" w:styleId="17">
    <w:name w:val="toc 8"/>
    <w:basedOn w:val="1"/>
    <w:next w:val="1"/>
    <w:qFormat/>
    <w:uiPriority w:val="0"/>
    <w:pPr>
      <w:ind w:left="1470"/>
      <w:jc w:val="left"/>
    </w:pPr>
    <w:rPr>
      <w:szCs w:val="21"/>
    </w:rPr>
  </w:style>
  <w:style w:type="paragraph" w:styleId="18">
    <w:name w:val="index 3"/>
    <w:basedOn w:val="1"/>
    <w:next w:val="1"/>
    <w:qFormat/>
    <w:uiPriority w:val="0"/>
    <w:pPr>
      <w:ind w:left="400" w:leftChars="400"/>
    </w:pPr>
  </w:style>
  <w:style w:type="paragraph" w:styleId="19">
    <w:name w:val="Balloon Text"/>
    <w:basedOn w:val="1"/>
    <w:link w:val="44"/>
    <w:semiHidden/>
    <w:unhideWhenUsed/>
    <w:qFormat/>
    <w:uiPriority w:val="99"/>
    <w:rPr>
      <w:sz w:val="18"/>
      <w:szCs w:val="18"/>
    </w:rPr>
  </w:style>
  <w:style w:type="paragraph" w:styleId="20">
    <w:name w:val="footer"/>
    <w:basedOn w:val="1"/>
    <w:link w:val="49"/>
    <w:qFormat/>
    <w:uiPriority w:val="99"/>
    <w:pPr>
      <w:tabs>
        <w:tab w:val="center" w:pos="4153"/>
        <w:tab w:val="right" w:pos="8306"/>
      </w:tabs>
      <w:snapToGrid w:val="0"/>
      <w:jc w:val="center"/>
    </w:pPr>
    <w:rPr>
      <w:sz w:val="18"/>
      <w:szCs w:val="18"/>
    </w:rPr>
  </w:style>
  <w:style w:type="paragraph" w:styleId="21">
    <w:name w:val="header"/>
    <w:basedOn w:val="1"/>
    <w:link w:val="48"/>
    <w:qFormat/>
    <w:uiPriority w:val="99"/>
    <w:pPr>
      <w:pBdr>
        <w:bottom w:val="single" w:color="auto" w:sz="4" w:space="1"/>
      </w:pBdr>
      <w:tabs>
        <w:tab w:val="center" w:pos="4153"/>
        <w:tab w:val="right" w:pos="8306"/>
      </w:tabs>
      <w:snapToGrid w:val="0"/>
      <w:jc w:val="right"/>
    </w:pPr>
    <w:rPr>
      <w:sz w:val="18"/>
      <w:szCs w:val="18"/>
    </w:rPr>
  </w:style>
  <w:style w:type="paragraph" w:styleId="22">
    <w:name w:val="toc 1"/>
    <w:basedOn w:val="1"/>
    <w:next w:val="1"/>
    <w:qFormat/>
    <w:uiPriority w:val="39"/>
    <w:pPr>
      <w:spacing w:beforeLines="100"/>
    </w:pPr>
    <w:rPr>
      <w:b/>
    </w:rPr>
  </w:style>
  <w:style w:type="paragraph" w:styleId="23">
    <w:name w:val="toc 4"/>
    <w:basedOn w:val="1"/>
    <w:next w:val="1"/>
    <w:qFormat/>
    <w:uiPriority w:val="0"/>
    <w:pPr>
      <w:ind w:left="1260" w:leftChars="600"/>
    </w:pPr>
  </w:style>
  <w:style w:type="paragraph" w:styleId="24">
    <w:name w:val="toc 6"/>
    <w:basedOn w:val="1"/>
    <w:next w:val="1"/>
    <w:qFormat/>
    <w:uiPriority w:val="0"/>
    <w:pPr>
      <w:ind w:left="2100" w:leftChars="1000"/>
    </w:pPr>
  </w:style>
  <w:style w:type="paragraph" w:styleId="25">
    <w:name w:val="toc 2"/>
    <w:basedOn w:val="1"/>
    <w:next w:val="1"/>
    <w:qFormat/>
    <w:uiPriority w:val="39"/>
    <w:pPr>
      <w:tabs>
        <w:tab w:val="left" w:pos="1260"/>
        <w:tab w:val="right" w:leader="dot" w:pos="8302"/>
      </w:tabs>
      <w:ind w:left="420" w:leftChars="200"/>
    </w:pPr>
  </w:style>
  <w:style w:type="paragraph" w:styleId="26">
    <w:name w:val="toc 9"/>
    <w:basedOn w:val="1"/>
    <w:next w:val="1"/>
    <w:qFormat/>
    <w:uiPriority w:val="0"/>
    <w:pPr>
      <w:ind w:left="3360" w:leftChars="1600"/>
    </w:pPr>
  </w:style>
  <w:style w:type="paragraph" w:styleId="27">
    <w:name w:val="Normal (Web)"/>
    <w:basedOn w:val="1"/>
    <w:qFormat/>
    <w:uiPriority w:val="0"/>
    <w:pPr>
      <w:widowControl/>
      <w:spacing w:before="100" w:beforeAutospacing="1" w:after="100" w:afterAutospacing="1"/>
      <w:jc w:val="left"/>
    </w:pPr>
    <w:rPr>
      <w:rFonts w:ascii="宋体" w:hAnsi="宋体"/>
      <w:kern w:val="0"/>
      <w:sz w:val="24"/>
    </w:rPr>
  </w:style>
  <w:style w:type="paragraph" w:styleId="28">
    <w:name w:val="index 1"/>
    <w:basedOn w:val="1"/>
    <w:next w:val="1"/>
    <w:qFormat/>
    <w:uiPriority w:val="0"/>
  </w:style>
  <w:style w:type="character" w:styleId="31">
    <w:name w:val="Strong"/>
    <w:basedOn w:val="30"/>
    <w:qFormat/>
    <w:uiPriority w:val="22"/>
    <w:rPr>
      <w:b/>
      <w:bCs/>
    </w:rPr>
  </w:style>
  <w:style w:type="character" w:styleId="32">
    <w:name w:val="page number"/>
    <w:basedOn w:val="30"/>
    <w:qFormat/>
    <w:uiPriority w:val="0"/>
  </w:style>
  <w:style w:type="character" w:styleId="33">
    <w:name w:val="FollowedHyperlink"/>
    <w:basedOn w:val="30"/>
    <w:semiHidden/>
    <w:unhideWhenUsed/>
    <w:qFormat/>
    <w:uiPriority w:val="99"/>
    <w:rPr>
      <w:color w:val="800080" w:themeColor="followedHyperlink"/>
      <w:u w:val="single"/>
    </w:rPr>
  </w:style>
  <w:style w:type="character" w:styleId="34">
    <w:name w:val="Hyperlink"/>
    <w:qFormat/>
    <w:uiPriority w:val="99"/>
    <w:rPr>
      <w:color w:val="0000FF"/>
      <w:u w:val="single"/>
    </w:rPr>
  </w:style>
  <w:style w:type="character" w:styleId="35">
    <w:name w:val="annotation reference"/>
    <w:qFormat/>
    <w:uiPriority w:val="0"/>
    <w:rPr>
      <w:sz w:val="21"/>
      <w:szCs w:val="21"/>
    </w:rPr>
  </w:style>
  <w:style w:type="character" w:customStyle="1" w:styleId="36">
    <w:name w:val="访问过的超链接1"/>
    <w:qFormat/>
    <w:uiPriority w:val="0"/>
    <w:rPr>
      <w:color w:val="800080"/>
      <w:u w:val="single"/>
    </w:rPr>
  </w:style>
  <w:style w:type="character" w:customStyle="1" w:styleId="37">
    <w:name w:val="Indent Normal Char"/>
    <w:qFormat/>
    <w:uiPriority w:val="0"/>
    <w:rPr>
      <w:rFonts w:eastAsia="宋体"/>
      <w:kern w:val="2"/>
      <w:sz w:val="21"/>
      <w:szCs w:val="24"/>
      <w:lang w:val="en-US" w:eastAsia="zh-CN" w:bidi="ar-SA"/>
    </w:rPr>
  </w:style>
  <w:style w:type="paragraph" w:customStyle="1" w:styleId="38">
    <w:name w:val="Code"/>
    <w:basedOn w:val="1"/>
    <w:qFormat/>
    <w:uiPriority w:val="0"/>
    <w:pPr>
      <w:keepLines/>
      <w:widowControl/>
      <w:pBdr>
        <w:top w:val="double" w:color="auto" w:sz="4" w:space="1"/>
        <w:bottom w:val="double" w:color="auto" w:sz="4" w:space="1"/>
      </w:pBdr>
      <w:shd w:val="clear" w:color="auto" w:fill="E6E6E6"/>
      <w:ind w:left="200" w:leftChars="200" w:right="200" w:rightChars="200"/>
      <w:jc w:val="left"/>
    </w:pPr>
    <w:rPr>
      <w:rFonts w:ascii="Courier New" w:hAnsi="Courier New"/>
      <w:sz w:val="18"/>
      <w:szCs w:val="21"/>
    </w:rPr>
  </w:style>
  <w:style w:type="paragraph" w:customStyle="1" w:styleId="39">
    <w:name w:val="Subject"/>
    <w:basedOn w:val="1"/>
    <w:qFormat/>
    <w:uiPriority w:val="0"/>
    <w:pPr>
      <w:spacing w:beforeLines="800"/>
      <w:jc w:val="center"/>
    </w:pPr>
    <w:rPr>
      <w:rFonts w:eastAsia="黑体"/>
      <w:b/>
      <w:sz w:val="48"/>
    </w:rPr>
  </w:style>
  <w:style w:type="paragraph" w:customStyle="1" w:styleId="40">
    <w:name w:val="封面表格文本"/>
    <w:basedOn w:val="1"/>
    <w:qFormat/>
    <w:uiPriority w:val="0"/>
    <w:pPr>
      <w:autoSpaceDE w:val="0"/>
      <w:autoSpaceDN w:val="0"/>
      <w:adjustRightInd w:val="0"/>
      <w:jc w:val="center"/>
    </w:pPr>
    <w:rPr>
      <w:b/>
      <w:kern w:val="0"/>
      <w:sz w:val="24"/>
      <w:szCs w:val="20"/>
    </w:rPr>
  </w:style>
  <w:style w:type="paragraph" w:customStyle="1" w:styleId="41">
    <w:name w:val="封面文档标题"/>
    <w:basedOn w:val="1"/>
    <w:qFormat/>
    <w:uiPriority w:val="0"/>
    <w:pPr>
      <w:autoSpaceDE w:val="0"/>
      <w:autoSpaceDN w:val="0"/>
      <w:adjustRightInd w:val="0"/>
      <w:spacing w:line="360" w:lineRule="auto"/>
      <w:jc w:val="center"/>
    </w:pPr>
    <w:rPr>
      <w:rFonts w:ascii="Arial" w:hAnsi="Arial"/>
      <w:b/>
      <w:kern w:val="0"/>
      <w:sz w:val="56"/>
      <w:szCs w:val="20"/>
    </w:rPr>
  </w:style>
  <w:style w:type="paragraph" w:customStyle="1" w:styleId="42">
    <w:name w:val="公司名称"/>
    <w:basedOn w:val="1"/>
    <w:qFormat/>
    <w:uiPriority w:val="0"/>
    <w:pPr>
      <w:widowControl/>
      <w:autoSpaceDE w:val="0"/>
      <w:autoSpaceDN w:val="0"/>
      <w:adjustRightInd w:val="0"/>
      <w:jc w:val="left"/>
    </w:pPr>
    <w:rPr>
      <w:rFonts w:eastAsia="黑体"/>
      <w:b/>
      <w:kern w:val="0"/>
      <w:sz w:val="32"/>
      <w:szCs w:val="20"/>
    </w:rPr>
  </w:style>
  <w:style w:type="paragraph" w:customStyle="1" w:styleId="43">
    <w:name w:val="TOC Heading"/>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4">
    <w:name w:val="批注框文本 Char"/>
    <w:basedOn w:val="30"/>
    <w:link w:val="19"/>
    <w:semiHidden/>
    <w:qFormat/>
    <w:uiPriority w:val="99"/>
    <w:rPr>
      <w:kern w:val="2"/>
      <w:sz w:val="18"/>
      <w:szCs w:val="18"/>
    </w:rPr>
  </w:style>
  <w:style w:type="character" w:customStyle="1" w:styleId="45">
    <w:name w:val="标题 2 Char"/>
    <w:basedOn w:val="30"/>
    <w:link w:val="3"/>
    <w:qFormat/>
    <w:uiPriority w:val="0"/>
    <w:rPr>
      <w:rFonts w:ascii="Arial" w:hAnsi="Arial"/>
      <w:b/>
      <w:bCs/>
      <w:kern w:val="2"/>
      <w:sz w:val="30"/>
      <w:szCs w:val="32"/>
    </w:rPr>
  </w:style>
  <w:style w:type="paragraph" w:styleId="46">
    <w:name w:val="List Paragraph"/>
    <w:basedOn w:val="1"/>
    <w:qFormat/>
    <w:uiPriority w:val="34"/>
    <w:pPr>
      <w:ind w:firstLine="420" w:firstLineChars="200"/>
    </w:pPr>
  </w:style>
  <w:style w:type="paragraph" w:customStyle="1" w:styleId="47">
    <w:name w:val="Indent Normal"/>
    <w:basedOn w:val="1"/>
    <w:qFormat/>
    <w:uiPriority w:val="0"/>
    <w:pPr>
      <w:ind w:firstLine="150" w:firstLineChars="150"/>
    </w:pPr>
    <w:rPr>
      <w:sz w:val="24"/>
    </w:rPr>
  </w:style>
  <w:style w:type="character" w:customStyle="1" w:styleId="48">
    <w:name w:val="页眉 Char"/>
    <w:basedOn w:val="30"/>
    <w:link w:val="21"/>
    <w:qFormat/>
    <w:uiPriority w:val="99"/>
    <w:rPr>
      <w:kern w:val="2"/>
      <w:sz w:val="18"/>
      <w:szCs w:val="18"/>
    </w:rPr>
  </w:style>
  <w:style w:type="character" w:customStyle="1" w:styleId="49">
    <w:name w:val="页脚 Char"/>
    <w:basedOn w:val="30"/>
    <w:link w:val="20"/>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Desktop\design.dot"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0792C1D70804ECE811E0A9CF92C5DF2"/>
        <w:style w:val=""/>
        <w:category>
          <w:name w:val="常规"/>
          <w:gallery w:val="placeholder"/>
        </w:category>
        <w:types>
          <w:type w:val="bbPlcHdr"/>
        </w:types>
        <w:behaviors>
          <w:behavior w:val="content"/>
        </w:behaviors>
        <w:description w:val=""/>
        <w:guid w:val="{29F47FE5-56A8-449D-83D6-2797ADEB4CEE}"/>
      </w:docPartPr>
      <w:docPartBody>
        <w:p>
          <w:pPr>
            <w:pStyle w:val="13"/>
          </w:pPr>
          <w:r>
            <w:rPr>
              <w:lang w:val="zh-CN"/>
            </w:rPr>
            <w:t>[在此处键入]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E65"/>
    <w:rsid w:val="00562E65"/>
    <w:rsid w:val="00571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296E3443BD5243EE8BCDE1A9494E0C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D49836CDD8924AE2B4FFBEF0503F8E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1F01DC772EA149DFB3BD0B1A2EF57A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09DECAA579E4F0BB62F76E3E9BE01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AA4D64CED944E73843ACE0F125F62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F039E795675648B8800BEF280993B3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73065694B34F41B981498F2C9469BF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5D26051133B44AF92865F8317F823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F371390A94A14F4EA391563EFA6244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10792C1D70804ECE811E0A9CF92C5DF2"/>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E4D885-346C-474D-B296-70D3E927E105}">
  <ds:schemaRefs/>
</ds:datastoreItem>
</file>

<file path=docProps/app.xml><?xml version="1.0" encoding="utf-8"?>
<Properties xmlns="http://schemas.openxmlformats.org/officeDocument/2006/extended-properties" xmlns:vt="http://schemas.openxmlformats.org/officeDocument/2006/docPropsVTypes">
  <Template>design</Template>
  <Company>江苏国泰新点软件有限公司</Company>
  <Pages>16</Pages>
  <Words>2928</Words>
  <Characters>3030</Characters>
  <Lines>78</Lines>
  <Paragraphs>22</Paragraphs>
  <TotalTime>4</TotalTime>
  <ScaleCrop>false</ScaleCrop>
  <LinksUpToDate>false</LinksUpToDate>
  <CharactersWithSpaces>3062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2015-10-19T03:22:00Z</dcterms:created>
  <dc:creator>humf</dc:creator>
  <cp:lastModifiedBy>廖勤超</cp:lastModifiedBy>
  <cp:lastPrinted>2004-11-15T02:42:00Z</cp:lastPrinted>
  <dcterms:modified xsi:type="dcterms:W3CDTF">2022-09-08T07:41:31Z</dcterms:modified>
  <dc:title>智慧清单先锋软件V7</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5EFB15788A1F43B0A338D578E5DE9BA1</vt:lpwstr>
  </property>
</Properties>
</file>