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847" w:type="dxa"/>
        <w:tblInd w:w="0" w:type="dxa"/>
        <w:tblLayout w:type="fixed"/>
        <w:tblCellMar>
          <w:top w:w="0" w:type="dxa"/>
          <w:left w:w="0" w:type="dxa"/>
          <w:bottom w:w="0" w:type="dxa"/>
          <w:right w:w="0" w:type="dxa"/>
        </w:tblCellMar>
      </w:tblPr>
      <w:tblGrid>
        <w:gridCol w:w="8847"/>
      </w:tblGrid>
      <w:tr w14:paraId="5A158744">
        <w:tblPrEx>
          <w:tblCellMar>
            <w:top w:w="0" w:type="dxa"/>
            <w:left w:w="0" w:type="dxa"/>
            <w:bottom w:w="0" w:type="dxa"/>
            <w:right w:w="0" w:type="dxa"/>
          </w:tblCellMar>
        </w:tblPrEx>
        <w:trPr>
          <w:cantSplit/>
          <w:trHeight w:val="417" w:hRule="atLeast"/>
        </w:trPr>
        <w:tc>
          <w:tcPr>
            <w:tcW w:w="8847" w:type="dxa"/>
            <w:noWrap w:val="0"/>
            <w:vAlign w:val="bottom"/>
          </w:tcPr>
          <w:p w14:paraId="4578C26B">
            <w:pPr>
              <w:jc w:val="both"/>
              <w:rPr>
                <w:rFonts w:hint="eastAsia" w:ascii="仿宋" w:hAnsi="仿宋" w:eastAsia="仿宋"/>
                <w:szCs w:val="32"/>
              </w:rPr>
            </w:pPr>
          </w:p>
          <w:p w14:paraId="4C286AC9">
            <w:pPr>
              <w:jc w:val="center"/>
              <w:rPr>
                <w:rFonts w:ascii="仿宋" w:hAnsi="仿宋" w:eastAsia="仿宋"/>
                <w:szCs w:val="32"/>
              </w:rPr>
            </w:pPr>
            <w:r>
              <w:rPr>
                <w:rFonts w:ascii="仿宋" w:hAnsi="仿宋" w:eastAsia="仿宋"/>
                <w:szCs w:val="32"/>
              </w:rPr>
              <w:t>赣</w:t>
            </w:r>
            <w:r>
              <w:rPr>
                <w:rFonts w:hint="eastAsia" w:ascii="仿宋" w:hAnsi="仿宋" w:eastAsia="仿宋"/>
                <w:szCs w:val="32"/>
              </w:rPr>
              <w:t>经</w:t>
            </w:r>
            <w:r>
              <w:rPr>
                <w:rFonts w:hint="eastAsia" w:ascii="仿宋" w:hAnsi="仿宋" w:eastAsia="仿宋"/>
                <w:szCs w:val="32"/>
                <w:lang w:eastAsia="zh-CN"/>
              </w:rPr>
              <w:t>开</w:t>
            </w:r>
            <w:r>
              <w:rPr>
                <w:rFonts w:hint="eastAsia" w:ascii="仿宋" w:hAnsi="仿宋" w:eastAsia="仿宋"/>
                <w:szCs w:val="32"/>
              </w:rPr>
              <w:t>购</w:t>
            </w:r>
            <w:r>
              <w:rPr>
                <w:rFonts w:hint="eastAsia" w:ascii="仿宋" w:hAnsi="仿宋" w:eastAsia="仿宋"/>
                <w:szCs w:val="32"/>
                <w:lang w:eastAsia="zh-CN"/>
              </w:rPr>
              <w:t>诉</w:t>
            </w:r>
            <w:r>
              <w:rPr>
                <w:rFonts w:hint="eastAsia" w:ascii="仿宋" w:hAnsi="仿宋" w:eastAsia="仿宋"/>
                <w:szCs w:val="32"/>
              </w:rPr>
              <w:t>字〔20</w:t>
            </w:r>
            <w:r>
              <w:rPr>
                <w:rFonts w:hint="eastAsia" w:ascii="仿宋" w:hAnsi="仿宋" w:eastAsia="仿宋"/>
                <w:szCs w:val="32"/>
                <w:lang w:val="en-US" w:eastAsia="zh-CN"/>
              </w:rPr>
              <w:t>25</w:t>
            </w:r>
            <w:r>
              <w:rPr>
                <w:rFonts w:hint="eastAsia" w:ascii="仿宋" w:hAnsi="仿宋" w:eastAsia="仿宋"/>
                <w:szCs w:val="32"/>
              </w:rPr>
              <w:t>〕</w:t>
            </w:r>
            <w:r>
              <w:rPr>
                <w:rFonts w:hint="eastAsia" w:ascii="仿宋" w:hAnsi="仿宋" w:eastAsia="仿宋"/>
                <w:szCs w:val="32"/>
                <w:lang w:val="en-US" w:eastAsia="zh-CN"/>
              </w:rPr>
              <w:t>1</w:t>
            </w:r>
            <w:r>
              <w:rPr>
                <w:rFonts w:ascii="仿宋" w:hAnsi="仿宋" w:eastAsia="仿宋"/>
                <w:szCs w:val="32"/>
              </w:rPr>
              <w:t>号</w:t>
            </w:r>
          </w:p>
        </w:tc>
      </w:tr>
      <w:tr w14:paraId="1CE257D7">
        <w:tblPrEx>
          <w:tblCellMar>
            <w:top w:w="0" w:type="dxa"/>
            <w:left w:w="0" w:type="dxa"/>
            <w:bottom w:w="0" w:type="dxa"/>
            <w:right w:w="0" w:type="dxa"/>
          </w:tblCellMar>
        </w:tblPrEx>
        <w:trPr>
          <w:cantSplit/>
          <w:trHeight w:val="166" w:hRule="exact"/>
        </w:trPr>
        <w:tc>
          <w:tcPr>
            <w:tcW w:w="8847" w:type="dxa"/>
            <w:noWrap w:val="0"/>
            <w:vAlign w:val="top"/>
          </w:tcPr>
          <w:p w14:paraId="34CB3561">
            <w:pPr>
              <w:jc w:val="center"/>
            </w:pPr>
          </w:p>
        </w:tc>
      </w:tr>
    </w:tbl>
    <w:p w14:paraId="07D5E977">
      <w:pPr>
        <w:spacing w:line="240" w:lineRule="exact"/>
        <w:rPr>
          <w:rFonts w:hint="eastAsia"/>
        </w:rPr>
      </w:pPr>
    </w:p>
    <w:p w14:paraId="5B7128B0">
      <w:pPr>
        <w:keepNext w:val="0"/>
        <w:keepLines w:val="0"/>
        <w:pageBreakBefore w:val="0"/>
        <w:kinsoku/>
        <w:wordWrap/>
        <w:overflowPunct/>
        <w:topLinePunct w:val="0"/>
        <w:autoSpaceDE/>
        <w:autoSpaceDN/>
        <w:bidi w:val="0"/>
        <w:adjustRightInd/>
        <w:spacing w:line="540" w:lineRule="exact"/>
        <w:jc w:val="center"/>
        <w:textAlignment w:val="auto"/>
        <w:rPr>
          <w:rFonts w:hint="default" w:ascii="Times New Roman" w:hAnsi="Times New Roman" w:eastAsia="方正小标宋简体" w:cs="Times New Roman"/>
          <w:b w:val="0"/>
          <w:bCs w:val="0"/>
          <w:sz w:val="44"/>
          <w:szCs w:val="44"/>
        </w:rPr>
      </w:pPr>
      <w:r>
        <w:rPr>
          <w:rFonts w:hint="default" w:ascii="Times New Roman" w:hAnsi="Times New Roman" w:eastAsia="方正小标宋简体" w:cs="Times New Roman"/>
          <w:b w:val="0"/>
          <w:bCs w:val="0"/>
          <w:sz w:val="44"/>
          <w:szCs w:val="44"/>
        </w:rPr>
        <w:t>投诉处理结果公告</w:t>
      </w:r>
    </w:p>
    <w:p w14:paraId="31F35A5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简体" w:cs="Times New Roman"/>
          <w:b w:val="0"/>
          <w:bCs w:val="0"/>
          <w:sz w:val="44"/>
          <w:szCs w:val="44"/>
        </w:rPr>
      </w:pPr>
    </w:p>
    <w:p w14:paraId="4260CF04">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default" w:ascii="仿宋" w:hAnsi="仿宋" w:eastAsia="仿宋" w:cs="仿宋"/>
          <w:color w:val="auto"/>
          <w:sz w:val="32"/>
          <w:szCs w:val="32"/>
          <w:lang w:val="en-US"/>
        </w:rPr>
      </w:pPr>
      <w:r>
        <w:rPr>
          <w:rFonts w:hint="eastAsia" w:ascii="黑体" w:hAnsi="黑体" w:eastAsia="黑体" w:cs="黑体"/>
          <w:color w:val="auto"/>
          <w:sz w:val="32"/>
          <w:szCs w:val="32"/>
        </w:rPr>
        <w:t>一、项目编号：</w:t>
      </w:r>
      <w:r>
        <w:rPr>
          <w:rFonts w:hint="eastAsia" w:ascii="仿宋_GB2312" w:hAnsi="仿宋_GB2312" w:cs="仿宋_GB2312"/>
          <w:color w:val="auto"/>
          <w:sz w:val="32"/>
          <w:szCs w:val="32"/>
          <w:lang w:val="en-US" w:eastAsia="zh-CN"/>
        </w:rPr>
        <w:t>JXYH</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-GZ-G001</w:t>
      </w:r>
    </w:p>
    <w:p w14:paraId="098F0604">
      <w:pPr>
        <w:keepNext w:val="0"/>
        <w:keepLines w:val="0"/>
        <w:pageBreakBefore w:val="0"/>
        <w:widowControl w:val="0"/>
        <w:kinsoku/>
        <w:wordWrap/>
        <w:overflowPunct/>
        <w:topLinePunct w:val="0"/>
        <w:autoSpaceDE/>
        <w:autoSpaceDN/>
        <w:bidi w:val="0"/>
        <w:adjustRightInd/>
        <w:snapToGrid/>
        <w:spacing w:line="540" w:lineRule="exact"/>
        <w:ind w:firstLine="624" w:firstLineChars="200"/>
        <w:jc w:val="both"/>
        <w:textAlignment w:val="auto"/>
        <w:rPr>
          <w:rFonts w:hint="default" w:ascii="仿宋" w:hAnsi="仿宋" w:eastAsia="黑体" w:cs="仿宋"/>
          <w:color w:val="auto"/>
          <w:sz w:val="32"/>
          <w:szCs w:val="32"/>
          <w:lang w:val="en-US" w:eastAsia="zh-CN"/>
        </w:rPr>
      </w:pPr>
      <w:r>
        <w:rPr>
          <w:rFonts w:hint="eastAsia" w:ascii="黑体" w:hAnsi="黑体" w:eastAsia="黑体" w:cs="黑体"/>
          <w:color w:val="auto"/>
          <w:sz w:val="32"/>
          <w:szCs w:val="32"/>
        </w:rPr>
        <w:t>二、项目名称：</w:t>
      </w:r>
      <w:r>
        <w:rPr>
          <w:rFonts w:hint="eastAsia" w:ascii="仿宋_GB2312" w:hAnsi="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赣州经济技术开发区</w:t>
      </w:r>
      <w:r>
        <w:rPr>
          <w:rFonts w:hint="eastAsia" w:ascii="仿宋_GB2312" w:hAnsi="仿宋_GB2312" w:cs="仿宋_GB2312"/>
          <w:color w:val="auto"/>
          <w:sz w:val="32"/>
          <w:szCs w:val="32"/>
          <w:lang w:eastAsia="zh-CN"/>
        </w:rPr>
        <w:t>道路路灯照明及夜景亮化设施维修服务项目</w:t>
      </w:r>
    </w:p>
    <w:p w14:paraId="5A586E3F">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三、相关当事人：</w:t>
      </w:r>
    </w:p>
    <w:p w14:paraId="2D6529F4">
      <w:pPr>
        <w:keepNext w:val="0"/>
        <w:keepLines w:val="0"/>
        <w:pageBreakBefore w:val="0"/>
        <w:widowControl/>
        <w:kinsoku/>
        <w:wordWrap/>
        <w:overflowPunct/>
        <w:topLinePunct w:val="0"/>
        <w:autoSpaceDE w:val="0"/>
        <w:autoSpaceDN/>
        <w:bidi w:val="0"/>
        <w:adjustRightInd/>
        <w:spacing w:line="540" w:lineRule="exact"/>
        <w:ind w:firstLine="624"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投诉人：</w:t>
      </w:r>
      <w:r>
        <w:rPr>
          <w:rFonts w:hint="eastAsia" w:ascii="仿宋_GB2312" w:hAnsi="仿宋_GB2312" w:cs="仿宋_GB2312"/>
          <w:color w:val="auto"/>
          <w:sz w:val="32"/>
          <w:szCs w:val="32"/>
          <w:lang w:eastAsia="zh-CN"/>
        </w:rPr>
        <w:t>江西河湖建设工程</w:t>
      </w:r>
      <w:r>
        <w:rPr>
          <w:rFonts w:hint="eastAsia" w:ascii="仿宋_GB2312" w:hAnsi="仿宋_GB2312" w:eastAsia="仿宋_GB2312" w:cs="仿宋_GB2312"/>
          <w:color w:val="auto"/>
          <w:sz w:val="32"/>
          <w:szCs w:val="32"/>
          <w:lang w:eastAsia="zh-CN"/>
        </w:rPr>
        <w:t>有限公司</w:t>
      </w:r>
    </w:p>
    <w:p w14:paraId="2553B794">
      <w:pPr>
        <w:keepNext w:val="0"/>
        <w:keepLines w:val="0"/>
        <w:pageBreakBefore w:val="0"/>
        <w:widowControl/>
        <w:kinsoku/>
        <w:wordWrap/>
        <w:overflowPunct/>
        <w:topLinePunct w:val="0"/>
        <w:autoSpaceDE w:val="0"/>
        <w:autoSpaceDN/>
        <w:bidi w:val="0"/>
        <w:adjustRightInd/>
        <w:spacing w:line="540" w:lineRule="exact"/>
        <w:ind w:firstLine="624"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南昌市</w:t>
      </w:r>
      <w:r>
        <w:rPr>
          <w:rFonts w:hint="eastAsia" w:ascii="仿宋_GB2312" w:hAnsi="仿宋_GB2312" w:cs="仿宋_GB2312"/>
          <w:color w:val="auto"/>
          <w:sz w:val="32"/>
          <w:szCs w:val="32"/>
          <w:lang w:eastAsia="zh-CN"/>
        </w:rPr>
        <w:t>红谷滩区联泰香域尚城</w:t>
      </w:r>
      <w:r>
        <w:rPr>
          <w:rFonts w:hint="eastAsia" w:ascii="仿宋_GB2312" w:hAnsi="仿宋_GB2312" w:cs="仿宋_GB2312"/>
          <w:color w:val="auto"/>
          <w:sz w:val="32"/>
          <w:szCs w:val="32"/>
          <w:lang w:val="en-US" w:eastAsia="zh-CN"/>
        </w:rPr>
        <w:t>2A</w:t>
      </w:r>
    </w:p>
    <w:p w14:paraId="575F946E">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被投诉人</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赣州经济技术开发区公用事业服务中心</w:t>
      </w:r>
    </w:p>
    <w:p w14:paraId="188231FF">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赣州经济技术开发区金岭西路</w:t>
      </w:r>
      <w:r>
        <w:rPr>
          <w:rFonts w:hint="eastAsia" w:ascii="仿宋_GB2312" w:hAnsi="仿宋_GB2312" w:eastAsia="仿宋_GB2312" w:cs="仿宋_GB2312"/>
          <w:color w:val="auto"/>
          <w:sz w:val="32"/>
          <w:szCs w:val="32"/>
          <w:lang w:val="en-US" w:eastAsia="zh-CN"/>
        </w:rPr>
        <w:t>164号</w:t>
      </w:r>
    </w:p>
    <w:p w14:paraId="73957A4D">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被投诉人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江西裕华工程项目管理有限公司</w:t>
      </w:r>
    </w:p>
    <w:p w14:paraId="6ADF19C9">
      <w:pPr>
        <w:pStyle w:val="5"/>
        <w:keepNext w:val="0"/>
        <w:keepLines w:val="0"/>
        <w:pageBreakBefore w:val="0"/>
        <w:widowControl/>
        <w:kinsoku/>
        <w:wordWrap/>
        <w:overflowPunct/>
        <w:topLinePunct w:val="0"/>
        <w:autoSpaceDE w:val="0"/>
        <w:autoSpaceDN/>
        <w:bidi w:val="0"/>
        <w:adjustRightInd/>
        <w:spacing w:before="0" w:beforeAutospacing="0" w:after="0" w:afterAutospacing="0" w:line="540" w:lineRule="exact"/>
        <w:ind w:firstLine="624"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w:t>
      </w:r>
      <w:r>
        <w:rPr>
          <w:rFonts w:hint="eastAsia" w:ascii="仿宋_GB2312" w:hAnsi="仿宋_GB2312" w:eastAsia="仿宋_GB2312" w:cs="仿宋_GB2312"/>
          <w:color w:val="auto"/>
          <w:sz w:val="32"/>
          <w:szCs w:val="32"/>
          <w:lang w:eastAsia="zh-CN"/>
        </w:rPr>
        <w:t>赣州经济技术开发区凤凰路南侧华坚北路西侧恒科产业园一期五号标准房</w:t>
      </w:r>
      <w:r>
        <w:rPr>
          <w:rFonts w:hint="eastAsia" w:ascii="仿宋_GB2312" w:hAnsi="仿宋_GB2312" w:eastAsia="仿宋_GB2312" w:cs="仿宋_GB2312"/>
          <w:color w:val="auto"/>
          <w:sz w:val="32"/>
          <w:szCs w:val="32"/>
          <w:lang w:val="en-US" w:eastAsia="zh-CN"/>
        </w:rPr>
        <w:t>5A11号</w:t>
      </w:r>
    </w:p>
    <w:p w14:paraId="43EA380C">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四、基本情况</w:t>
      </w:r>
    </w:p>
    <w:p w14:paraId="00507DCD">
      <w:pPr>
        <w:keepNext w:val="0"/>
        <w:keepLines w:val="0"/>
        <w:pageBreakBefore w:val="0"/>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投诉人对</w:t>
      </w:r>
      <w:r>
        <w:rPr>
          <w:rFonts w:hint="eastAsia" w:ascii="仿宋_GB2312" w:hAnsi="仿宋_GB2312" w:eastAsia="仿宋_GB2312" w:cs="仿宋_GB2312"/>
          <w:color w:val="auto"/>
          <w:sz w:val="32"/>
          <w:szCs w:val="32"/>
          <w:lang w:eastAsia="zh-CN"/>
        </w:rPr>
        <w:t>江西裕华工程项目管理有限公司</w:t>
      </w:r>
      <w:r>
        <w:rPr>
          <w:rFonts w:hint="eastAsia" w:ascii="仿宋_GB2312" w:hAnsi="仿宋_GB2312" w:eastAsia="仿宋_GB2312" w:cs="仿宋_GB2312"/>
          <w:color w:val="auto"/>
          <w:kern w:val="2"/>
          <w:sz w:val="32"/>
          <w:szCs w:val="32"/>
          <w:lang w:val="en-US" w:eastAsia="zh-CN" w:bidi="ar-SA"/>
        </w:rPr>
        <w:t>代理的</w:t>
      </w:r>
      <w:r>
        <w:rPr>
          <w:rFonts w:hint="eastAsia" w:ascii="仿宋_GB2312" w:hAnsi="仿宋_GB2312" w:cs="仿宋_GB2312"/>
          <w:color w:val="auto"/>
          <w:sz w:val="32"/>
          <w:szCs w:val="32"/>
          <w:lang w:val="en-US" w:eastAsia="zh-CN"/>
        </w:rPr>
        <w:t>2025年</w:t>
      </w:r>
      <w:r>
        <w:rPr>
          <w:rFonts w:hint="eastAsia" w:ascii="仿宋_GB2312" w:hAnsi="仿宋_GB2312" w:eastAsia="仿宋_GB2312" w:cs="仿宋_GB2312"/>
          <w:color w:val="auto"/>
          <w:sz w:val="32"/>
          <w:szCs w:val="32"/>
          <w:lang w:eastAsia="zh-CN"/>
        </w:rPr>
        <w:t>赣州经济技术开发区</w:t>
      </w:r>
      <w:r>
        <w:rPr>
          <w:rFonts w:hint="eastAsia" w:ascii="仿宋_GB2312" w:hAnsi="仿宋_GB2312" w:cs="仿宋_GB2312"/>
          <w:color w:val="auto"/>
          <w:sz w:val="32"/>
          <w:szCs w:val="32"/>
          <w:lang w:eastAsia="zh-CN"/>
        </w:rPr>
        <w:t>道路路灯照明及夜景亮化设施维修服务项目</w:t>
      </w:r>
      <w:r>
        <w:rPr>
          <w:rFonts w:hint="eastAsia" w:ascii="仿宋_GB2312" w:hAnsi="仿宋_GB2312" w:eastAsia="仿宋_GB2312" w:cs="仿宋_GB2312"/>
          <w:color w:val="auto"/>
          <w:kern w:val="2"/>
          <w:sz w:val="32"/>
          <w:szCs w:val="32"/>
          <w:lang w:val="en-US" w:eastAsia="zh-CN" w:bidi="ar-SA"/>
        </w:rPr>
        <w:t>（项目编号：</w:t>
      </w:r>
      <w:r>
        <w:rPr>
          <w:rFonts w:hint="eastAsia" w:ascii="仿宋_GB2312" w:hAnsi="仿宋_GB2312" w:cs="仿宋_GB2312"/>
          <w:color w:val="auto"/>
          <w:sz w:val="32"/>
          <w:szCs w:val="32"/>
          <w:lang w:val="en-US" w:eastAsia="zh-CN"/>
        </w:rPr>
        <w:t>JXYH</w:t>
      </w:r>
      <w:r>
        <w:rPr>
          <w:rFonts w:hint="eastAsia" w:ascii="仿宋_GB2312" w:hAnsi="仿宋_GB2312" w:eastAsia="仿宋_GB2312" w:cs="仿宋_GB2312"/>
          <w:color w:val="auto"/>
          <w:sz w:val="32"/>
          <w:szCs w:val="32"/>
          <w:lang w:val="en-US" w:eastAsia="zh-CN"/>
        </w:rPr>
        <w:t>202</w:t>
      </w:r>
      <w:r>
        <w:rPr>
          <w:rFonts w:hint="eastAsia" w:ascii="仿宋_GB2312" w:hAnsi="仿宋_GB2312" w:cs="仿宋_GB2312"/>
          <w:color w:val="auto"/>
          <w:sz w:val="32"/>
          <w:szCs w:val="32"/>
          <w:lang w:val="en-US" w:eastAsia="zh-CN"/>
        </w:rPr>
        <w:t>5</w:t>
      </w:r>
      <w:r>
        <w:rPr>
          <w:rFonts w:hint="eastAsia" w:ascii="仿宋_GB2312" w:hAnsi="仿宋_GB2312" w:eastAsia="仿宋_GB2312" w:cs="仿宋_GB2312"/>
          <w:color w:val="auto"/>
          <w:sz w:val="32"/>
          <w:szCs w:val="32"/>
          <w:lang w:val="en-US" w:eastAsia="zh-CN"/>
        </w:rPr>
        <w:t>-GZ-G001</w:t>
      </w:r>
      <w:r>
        <w:rPr>
          <w:rFonts w:hint="eastAsia" w:ascii="仿宋_GB2312" w:hAnsi="仿宋_GB2312" w:eastAsia="仿宋_GB2312" w:cs="仿宋_GB2312"/>
          <w:color w:val="auto"/>
          <w:kern w:val="2"/>
          <w:sz w:val="32"/>
          <w:szCs w:val="32"/>
          <w:lang w:val="en-US" w:eastAsia="zh-CN" w:bidi="ar-SA"/>
        </w:rPr>
        <w:t>）的质疑答复不满，于2024年9月</w:t>
      </w:r>
      <w:r>
        <w:rPr>
          <w:rFonts w:hint="eastAsia" w:ascii="仿宋_GB2312" w:hAnsi="仿宋_GB2312" w:cs="仿宋_GB2312"/>
          <w:color w:val="auto"/>
          <w:kern w:val="2"/>
          <w:sz w:val="32"/>
          <w:szCs w:val="32"/>
          <w:lang w:val="en-US" w:eastAsia="zh-CN" w:bidi="ar-SA"/>
        </w:rPr>
        <w:t>19</w:t>
      </w:r>
      <w:r>
        <w:rPr>
          <w:rFonts w:hint="eastAsia" w:ascii="仿宋_GB2312" w:hAnsi="仿宋_GB2312" w:eastAsia="仿宋_GB2312" w:cs="仿宋_GB2312"/>
          <w:color w:val="auto"/>
          <w:kern w:val="2"/>
          <w:sz w:val="32"/>
          <w:szCs w:val="32"/>
          <w:lang w:val="en-US" w:eastAsia="zh-CN" w:bidi="ar-SA"/>
        </w:rPr>
        <w:t>日向本单位提起投诉,本单位于</w:t>
      </w:r>
      <w:r>
        <w:rPr>
          <w:rFonts w:hint="eastAsia" w:ascii="仿宋_GB2312" w:hAnsi="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t>月</w:t>
      </w:r>
      <w:r>
        <w:rPr>
          <w:rFonts w:hint="eastAsia" w:ascii="仿宋_GB2312" w:hAnsi="仿宋_GB2312" w:cs="仿宋_GB2312"/>
          <w:color w:val="auto"/>
          <w:kern w:val="2"/>
          <w:sz w:val="32"/>
          <w:szCs w:val="32"/>
          <w:lang w:val="en-US" w:eastAsia="zh-CN" w:bidi="ar-SA"/>
        </w:rPr>
        <w:t>20</w:t>
      </w:r>
      <w:r>
        <w:rPr>
          <w:rFonts w:hint="eastAsia" w:ascii="仿宋_GB2312" w:hAnsi="仿宋_GB2312" w:eastAsia="仿宋_GB2312" w:cs="仿宋_GB2312"/>
          <w:color w:val="auto"/>
          <w:kern w:val="2"/>
          <w:sz w:val="32"/>
          <w:szCs w:val="32"/>
          <w:lang w:val="en-US" w:eastAsia="zh-CN" w:bidi="ar-SA"/>
        </w:rPr>
        <w:t>日收到并于当日依法受理。经依法对本项目政府采购活动中的相关材料进行审核，本投诉案已审查终结。</w:t>
      </w:r>
    </w:p>
    <w:p w14:paraId="5F6A335A">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投诉事项1：</w:t>
      </w:r>
    </w:p>
    <w:p w14:paraId="4C5D113B">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投诉人称：</w:t>
      </w:r>
      <w:r>
        <w:rPr>
          <w:rFonts w:hint="eastAsia" w:ascii="仿宋_GB2312" w:hAnsi="仿宋_GB2312" w:eastAsia="仿宋_GB2312" w:cs="仿宋_GB2312"/>
          <w:color w:val="auto"/>
          <w:sz w:val="32"/>
          <w:szCs w:val="32"/>
          <w:u w:val="none"/>
          <w:lang w:val="en-US" w:eastAsia="zh-CN"/>
        </w:rPr>
        <w:t>招标文件第59 页“三、采购项目需求”(七)采购技术需求部分”“2、车辆配置”要求自有3辆高空作业车，自有2辆工程货车，自有2辆巡查维修车，并提供车辆行驶证原件扫描件和购置发票扫描件，此项设置对小微企业违背公平竞争原则，通过合法租赁等方式整合优质资源也可以满足该项目的需求。仅认可“自有”形式，不合理地限制了供应商通过市场化手段获取资源满足项目需求的合法途径。</w:t>
      </w:r>
    </w:p>
    <w:p w14:paraId="0D03B591">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被投诉人称：</w:t>
      </w:r>
      <w:r>
        <w:rPr>
          <w:rFonts w:hint="eastAsia" w:ascii="仿宋_GB2312" w:hAnsi="仿宋_GB2312" w:eastAsia="仿宋_GB2312" w:cs="仿宋_GB2312"/>
          <w:b w:val="0"/>
          <w:bCs w:val="0"/>
          <w:color w:val="auto"/>
          <w:sz w:val="32"/>
          <w:szCs w:val="32"/>
          <w:u w:val="none"/>
          <w:lang w:val="en-US" w:eastAsia="zh-CN"/>
        </w:rPr>
        <w:t>经专家论证，本项目采购需求中关于车辆配置要求“自有”将更改为“自有或租赁”。</w:t>
      </w:r>
    </w:p>
    <w:p w14:paraId="32D8F7D9">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投诉事项2：</w:t>
      </w:r>
    </w:p>
    <w:p w14:paraId="58F5B00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投诉人称：</w:t>
      </w:r>
      <w:r>
        <w:rPr>
          <w:rFonts w:hint="eastAsia" w:ascii="仿宋_GB2312" w:hAnsi="仿宋_GB2312" w:eastAsia="仿宋_GB2312" w:cs="仿宋_GB2312"/>
          <w:b w:val="0"/>
          <w:bCs w:val="0"/>
          <w:color w:val="auto"/>
          <w:sz w:val="32"/>
          <w:szCs w:val="32"/>
          <w:u w:val="none"/>
          <w:lang w:val="en-US" w:eastAsia="zh-CN"/>
        </w:rPr>
        <w:t>招标文件第30页，29、评分标准“拟投入本项目的配套人员及物资”1、项目负责人和2、技术负责人评分依据都需要机电工程一级注册建造师+电气或机电类高级工程师，属于证书重复设置，人为抬高招标门槛。“项目负责人”本身就是项目管理人(具备一级建造师证书就已证明)再又加电气或机电类高级工程师证书缺乏必要性，构成对中小企业的排斥;技术负责人具备电气或机电类高级工程师已涵盖专业技术能力，又叠加建造师证缺乏必要性，构成对中小企业的排斥,项目负责人和技术负责人强制要求一人持双证，这与岗位实际职责错位，属于无效加分，特意为某意向单位抬高门槛而设置，排斥其他中小企业。</w:t>
      </w:r>
    </w:p>
    <w:p w14:paraId="46DAC959">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被投诉人称：</w:t>
      </w:r>
    </w:p>
    <w:p w14:paraId="3D64EB0C">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采购项目需求要求项目负责人要为持有二级机电工程专业注册建造师职业资格证书，并持有企业管理人员安全生产考核B证，技术负责人要求为具有机电或电气类专业中级职称或持有机电工程专业二级注册建造师职业资格证书，并未构成对中小企业的排斥。机电工程涉及电力、机械、智能化、石油化工、管道安装、电子仪表、新能源等十多个细分领域，针对此次采购项目，是和机电、电力等相关联的项目，机电专业与建筑工程、市政工程等交叉度高，例如智能建筑、消防设施等均需机电技术支撑‌。注册建造师类人员只要在毕业满两年后有2年工作经历就可以报名参加考试，能通过考试说明理论知识丰富，但并不一定具备较强的工作经验和履历，而相关从业人员在取得中级</w:t>
      </w:r>
      <w:r>
        <w:rPr>
          <w:rFonts w:hint="eastAsia" w:ascii="仿宋_GB2312" w:hAnsi="仿宋_GB2312" w:eastAsia="仿宋_GB2312" w:cs="仿宋_GB2312"/>
          <w:color w:val="auto"/>
          <w:kern w:val="0"/>
          <w:sz w:val="32"/>
          <w:szCs w:val="32"/>
          <w:lang w:val="en-US" w:eastAsia="zh-CN" w:bidi="ar"/>
        </w:rPr>
        <w:t>工程师</w:t>
      </w:r>
      <w:r>
        <w:rPr>
          <w:rFonts w:hint="eastAsia" w:ascii="仿宋_GB2312" w:hAnsi="仿宋_GB2312" w:eastAsia="仿宋_GB2312" w:cs="仿宋_GB2312"/>
          <w:b w:val="0"/>
          <w:bCs w:val="0"/>
          <w:color w:val="auto"/>
          <w:sz w:val="32"/>
          <w:szCs w:val="32"/>
          <w:u w:val="none"/>
          <w:lang w:val="en-US" w:eastAsia="zh-CN"/>
        </w:rPr>
        <w:t>职称满5年才可以参与本专业高级</w:t>
      </w:r>
      <w:r>
        <w:rPr>
          <w:rFonts w:hint="eastAsia" w:ascii="仿宋_GB2312" w:hAnsi="仿宋_GB2312" w:eastAsia="仿宋_GB2312" w:cs="仿宋_GB2312"/>
          <w:color w:val="auto"/>
          <w:kern w:val="0"/>
          <w:sz w:val="32"/>
          <w:szCs w:val="32"/>
          <w:lang w:val="en-US" w:eastAsia="zh-CN" w:bidi="ar"/>
        </w:rPr>
        <w:t>工程师</w:t>
      </w:r>
      <w:r>
        <w:rPr>
          <w:rFonts w:hint="eastAsia" w:ascii="仿宋_GB2312" w:hAnsi="仿宋_GB2312" w:eastAsia="仿宋_GB2312" w:cs="仿宋_GB2312"/>
          <w:b w:val="0"/>
          <w:bCs w:val="0"/>
          <w:color w:val="auto"/>
          <w:sz w:val="32"/>
          <w:szCs w:val="32"/>
          <w:u w:val="none"/>
          <w:lang w:val="en-US" w:eastAsia="zh-CN"/>
        </w:rPr>
        <w:t>职称的评审，且对人员的工作经验、工作履历等要求较为严格，能证明人员具备较强的技术实践能力。本项目涉及到对变压器、配电设施、线路设施、 照明设施等一切路灯照明及夜景亮化设施和配套设施，与机电工程专业具有‌行业覆盖范围广的特点相适应。因此采购人根据采购项目特点和实际需要设置项目负责人及技术负责人具备一级建造师和高级工程师职称作为评审因素分别加分，符合项目实际需求，不属于证书叠加，作为评审因素并无不妥。</w:t>
      </w:r>
    </w:p>
    <w:p w14:paraId="30F4C87B">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本次招标已开展采购需求调查，了解到国内符合采购文件资质要求企业不少于1000家，具备以上人员要求的投标人也不在少数，有充分的竞争性，本招标文件提出的技术要求、商务要求等是最低限度的要求，符合城市及道路照明工程专业承包二级资质的潜在投标人都能达到本项目采购需求中的基本人员要求；且本项目采用“综合评分法”，为充分体现投标供应商的综合实力，择优选取投标供应商，将优于最低限度的要求作为评分因素，符合《政府采购货物和服务招标投标管理办法》（财政部令第87号）的相关规定</w:t>
      </w:r>
      <w:r>
        <w:rPr>
          <w:rFonts w:hint="eastAsia" w:ascii="仿宋_GB2312" w:hAnsi="仿宋_GB2312" w:cs="仿宋_GB2312"/>
          <w:b w:val="0"/>
          <w:bCs w:val="0"/>
          <w:color w:val="auto"/>
          <w:sz w:val="32"/>
          <w:szCs w:val="32"/>
          <w:u w:val="none"/>
          <w:lang w:val="en-US" w:eastAsia="zh-CN"/>
        </w:rPr>
        <w:t>。</w:t>
      </w:r>
      <w:r>
        <w:rPr>
          <w:rFonts w:hint="eastAsia" w:ascii="仿宋_GB2312" w:hAnsi="仿宋_GB2312" w:eastAsia="仿宋_GB2312" w:cs="仿宋_GB2312"/>
          <w:b w:val="0"/>
          <w:bCs w:val="0"/>
          <w:color w:val="auto"/>
          <w:sz w:val="32"/>
          <w:szCs w:val="32"/>
          <w:u w:val="none"/>
          <w:lang w:val="en-US" w:eastAsia="zh-CN"/>
        </w:rPr>
        <w:t>项目负责人、技术负责人证书要求体现技术能力与采购需求相关。</w:t>
      </w:r>
    </w:p>
    <w:p w14:paraId="23623988">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b/>
          <w:bCs/>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投诉事项3：</w:t>
      </w:r>
    </w:p>
    <w:p w14:paraId="2A32C022">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kern w:val="2"/>
          <w:sz w:val="32"/>
          <w:szCs w:val="32"/>
          <w:lang w:val="en-US" w:eastAsia="zh-CN" w:bidi="ar-SA"/>
        </w:rPr>
        <w:t>投诉人称：</w:t>
      </w:r>
      <w:r>
        <w:rPr>
          <w:rFonts w:hint="eastAsia" w:ascii="仿宋_GB2312" w:hAnsi="仿宋_GB2312" w:eastAsia="仿宋_GB2312" w:cs="仿宋_GB2312"/>
          <w:color w:val="auto"/>
          <w:sz w:val="32"/>
          <w:szCs w:val="32"/>
          <w:u w:val="none"/>
          <w:lang w:val="en-US" w:eastAsia="zh-CN"/>
        </w:rPr>
        <w:t>招标文件第32页，29、评分标准商务分一业绩要求2021年1月1日以来(以合同签订时间为准)4个市政道路路灯设施日常维修管养业绩，3个城市夜景照明设施维修管养业绩，总共7个业绩，一是，该项业绩设置数量过多，只要该潜在投标人具备该项从业经验即可，业绩要求的本质是证明该企业具备履约能力，而不是历史业务量的比拼。一是，评分设置的“市政道路路灯设施日常维修管养业绩”、“城市夜景照明设施维修管养业绩”要求属于特定行业的业绩，有特意为意向单位量身定制谋取中标的嫌疑。</w:t>
      </w:r>
    </w:p>
    <w:p w14:paraId="522DDB61">
      <w:pPr>
        <w:keepNext w:val="0"/>
        <w:keepLines w:val="0"/>
        <w:pageBreakBefore w:val="0"/>
        <w:numPr>
          <w:ilvl w:val="0"/>
          <w:numId w:val="0"/>
        </w:numPr>
        <w:kinsoku/>
        <w:wordWrap/>
        <w:overflowPunct/>
        <w:topLinePunct w:val="0"/>
        <w:autoSpaceDN/>
        <w:bidi w:val="0"/>
        <w:adjustRightInd/>
        <w:spacing w:line="540" w:lineRule="exact"/>
        <w:ind w:left="0" w:leftChars="0" w:firstLine="546" w:firstLineChars="175"/>
        <w:jc w:val="both"/>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被投诉人称：</w:t>
      </w:r>
      <w:r>
        <w:rPr>
          <w:rFonts w:hint="eastAsia" w:ascii="仿宋_GB2312" w:hAnsi="仿宋_GB2312" w:eastAsia="仿宋_GB2312" w:cs="仿宋_GB2312"/>
          <w:b w:val="0"/>
          <w:bCs w:val="0"/>
          <w:color w:val="auto"/>
          <w:sz w:val="32"/>
          <w:szCs w:val="32"/>
          <w:u w:val="none"/>
          <w:lang w:val="en-US" w:eastAsia="zh-CN"/>
        </w:rPr>
        <w:t>（1）本项目业绩数量符合项目实际需要，与采购需求一致；（2）根据《中华人民共和国政府采购法实施条例》第二十条第（四）款：将业绩类型“①市政道路路灯设施日常维修管养业绩”修改为“道路路灯设施日常维修管养业绩”。删除“业绩须在县级或以上政府部门网站查询（投标文件中提供查询截图）加盖投标人公章”，增加条款“业绩证明材料在中标后签订合同时提供原件核查，采购人可以对投标人提供的业绩证明材料的真实性通过发函等、调查等形进行求证，若发现弄虚作假的，则投标人应为此承担所有的经济损失和法律责任，采购人将依法依规上报财政主管部门处理”。</w:t>
      </w:r>
    </w:p>
    <w:p w14:paraId="5C378A8B">
      <w:pPr>
        <w:pStyle w:val="2"/>
        <w:keepNext w:val="0"/>
        <w:keepLines w:val="0"/>
        <w:pageBreakBefore w:val="0"/>
        <w:numPr>
          <w:ilvl w:val="0"/>
          <w:numId w:val="1"/>
        </w:numPr>
        <w:kinsoku/>
        <w:wordWrap/>
        <w:overflowPunct/>
        <w:topLinePunct w:val="0"/>
        <w:autoSpaceDN/>
        <w:bidi w:val="0"/>
        <w:adjustRightInd/>
        <w:spacing w:after="0" w:line="540" w:lineRule="exact"/>
        <w:ind w:left="0" w:leftChars="0" w:firstLine="624"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处理依据及结果</w:t>
      </w:r>
    </w:p>
    <w:p w14:paraId="2A7D381C">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经调查：</w:t>
      </w:r>
    </w:p>
    <w:p w14:paraId="4567FB34">
      <w:pPr>
        <w:keepNext w:val="0"/>
        <w:keepLines w:val="0"/>
        <w:widowControl/>
        <w:suppressLineNumbers w:val="0"/>
        <w:jc w:val="left"/>
      </w:pPr>
      <w:r>
        <w:rPr>
          <w:rFonts w:hint="eastAsia" w:ascii="仿宋_GB2312" w:hAnsi="仿宋_GB2312" w:eastAsia="仿宋_GB2312" w:cs="仿宋_GB2312"/>
          <w:b w:val="0"/>
          <w:bCs w:val="0"/>
          <w:color w:val="auto"/>
          <w:kern w:val="0"/>
          <w:sz w:val="32"/>
          <w:szCs w:val="32"/>
          <w:lang w:val="en-US" w:eastAsia="zh-CN" w:bidi="ar"/>
        </w:rPr>
        <w:t>　　</w:t>
      </w:r>
      <w:r>
        <w:rPr>
          <w:rFonts w:hint="eastAsia" w:ascii="仿宋_GB2312" w:hAnsi="仿宋_GB2312" w:eastAsia="仿宋_GB2312" w:cs="仿宋_GB2312"/>
          <w:b/>
          <w:bCs/>
          <w:color w:val="auto"/>
          <w:kern w:val="0"/>
          <w:sz w:val="32"/>
          <w:szCs w:val="32"/>
          <w:lang w:val="en-US" w:eastAsia="zh-CN" w:bidi="ar"/>
        </w:rPr>
        <w:t>1.投诉事项1成立。</w:t>
      </w:r>
      <w:r>
        <w:rPr>
          <w:rFonts w:hint="eastAsia" w:ascii="仿宋_GB2312" w:hAnsi="仿宋_GB2312" w:eastAsia="仿宋_GB2312" w:cs="仿宋_GB2312"/>
          <w:color w:val="auto"/>
          <w:sz w:val="32"/>
          <w:szCs w:val="32"/>
          <w:u w:val="none"/>
          <w:lang w:val="en-US" w:eastAsia="zh-CN"/>
        </w:rPr>
        <w:t>招标文件要求</w:t>
      </w:r>
      <w:r>
        <w:rPr>
          <w:rFonts w:hint="eastAsia" w:ascii="仿宋_GB2312" w:hAnsi="仿宋_GB2312" w:cs="仿宋_GB2312"/>
          <w:color w:val="auto"/>
          <w:sz w:val="32"/>
          <w:szCs w:val="32"/>
          <w:u w:val="none"/>
          <w:lang w:val="en-US" w:eastAsia="zh-CN"/>
        </w:rPr>
        <w:t>供应商“</w:t>
      </w:r>
      <w:r>
        <w:rPr>
          <w:rFonts w:hint="eastAsia" w:ascii="仿宋_GB2312" w:hAnsi="仿宋_GB2312" w:eastAsia="仿宋_GB2312" w:cs="仿宋_GB2312"/>
          <w:color w:val="auto"/>
          <w:sz w:val="32"/>
          <w:szCs w:val="32"/>
          <w:u w:val="none"/>
          <w:lang w:val="en-US" w:eastAsia="zh-CN"/>
        </w:rPr>
        <w:t>自有3辆高空作业车，自有2辆工程货车</w:t>
      </w:r>
      <w:r>
        <w:rPr>
          <w:rFonts w:hint="eastAsia" w:ascii="仿宋_GB2312" w:hAnsi="仿宋_GB2312" w:eastAsia="仿宋_GB2312" w:cs="仿宋_GB2312"/>
          <w:b w:val="0"/>
          <w:bCs w:val="0"/>
          <w:color w:val="auto"/>
          <w:kern w:val="0"/>
          <w:sz w:val="32"/>
          <w:szCs w:val="32"/>
          <w:lang w:val="en-US" w:eastAsia="zh-CN" w:bidi="ar"/>
        </w:rPr>
        <w:t>，自有2辆巡查维修车，并提供车辆行驶证原件扫描件和购置发票扫描件”，设备是否为供应商自有与本项目的履约能力不冲突，该评审因素的设定存在不合理性，违反了《中华人民共和国政府采购法实施条例》第二十条第八项“以其他不合理条件限制或者排斥潜在供应商”的情形。</w:t>
      </w:r>
    </w:p>
    <w:p w14:paraId="15C451E8">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2.投诉事项２不成立。</w:t>
      </w:r>
      <w:r>
        <w:rPr>
          <w:rFonts w:hint="eastAsia" w:ascii="仿宋_GB2312" w:hAnsi="仿宋_GB2312" w:cs="仿宋_GB2312"/>
          <w:color w:val="auto"/>
          <w:kern w:val="0"/>
          <w:sz w:val="32"/>
          <w:szCs w:val="32"/>
          <w:lang w:val="en-US" w:eastAsia="zh-CN" w:bidi="ar"/>
        </w:rPr>
        <w:t>招标文件</w:t>
      </w:r>
      <w:r>
        <w:rPr>
          <w:rFonts w:hint="eastAsia" w:ascii="仿宋_GB2312" w:hAnsi="仿宋_GB2312" w:eastAsia="仿宋_GB2312" w:cs="仿宋_GB2312"/>
          <w:color w:val="auto"/>
          <w:kern w:val="0"/>
          <w:sz w:val="32"/>
          <w:szCs w:val="32"/>
          <w:lang w:val="en-US" w:eastAsia="zh-CN" w:bidi="ar"/>
        </w:rPr>
        <w:t>评审因素设置项目负责人</w:t>
      </w:r>
      <w:r>
        <w:rPr>
          <w:rFonts w:hint="eastAsia" w:ascii="仿宋_GB2312" w:hAnsi="仿宋_GB2312" w:cs="仿宋_GB2312"/>
          <w:color w:val="auto"/>
          <w:kern w:val="0"/>
          <w:sz w:val="32"/>
          <w:szCs w:val="32"/>
          <w:lang w:val="en-US" w:eastAsia="zh-CN" w:bidi="ar"/>
        </w:rPr>
        <w:t>及</w:t>
      </w:r>
      <w:r>
        <w:rPr>
          <w:rFonts w:hint="eastAsia" w:ascii="仿宋_GB2312" w:hAnsi="仿宋_GB2312" w:eastAsia="仿宋_GB2312" w:cs="仿宋_GB2312"/>
          <w:b w:val="0"/>
          <w:bCs w:val="0"/>
          <w:color w:val="auto"/>
          <w:sz w:val="32"/>
          <w:szCs w:val="32"/>
          <w:u w:val="none"/>
          <w:lang w:val="en-US" w:eastAsia="zh-CN"/>
        </w:rPr>
        <w:t>技术负责人都需要机电工程一级注册建造师</w:t>
      </w:r>
      <w:r>
        <w:rPr>
          <w:rFonts w:hint="eastAsia" w:ascii="仿宋_GB2312" w:hAnsi="仿宋_GB2312" w:cs="仿宋_GB2312"/>
          <w:b w:val="0"/>
          <w:bCs w:val="0"/>
          <w:color w:val="auto"/>
          <w:sz w:val="32"/>
          <w:szCs w:val="32"/>
          <w:u w:val="none"/>
          <w:lang w:val="en-US" w:eastAsia="zh-CN"/>
        </w:rPr>
        <w:t>和</w:t>
      </w:r>
      <w:r>
        <w:rPr>
          <w:rFonts w:hint="eastAsia" w:ascii="仿宋_GB2312" w:hAnsi="仿宋_GB2312" w:eastAsia="仿宋_GB2312" w:cs="仿宋_GB2312"/>
          <w:b w:val="0"/>
          <w:bCs w:val="0"/>
          <w:color w:val="auto"/>
          <w:sz w:val="32"/>
          <w:szCs w:val="32"/>
          <w:u w:val="none"/>
          <w:lang w:val="en-US" w:eastAsia="zh-CN"/>
        </w:rPr>
        <w:t>电气或机电类高级工程师</w:t>
      </w:r>
      <w:r>
        <w:rPr>
          <w:rFonts w:hint="eastAsia" w:ascii="仿宋_GB2312" w:hAnsi="仿宋_GB2312" w:cs="仿宋_GB2312"/>
          <w:b w:val="0"/>
          <w:bCs w:val="0"/>
          <w:color w:val="auto"/>
          <w:sz w:val="32"/>
          <w:szCs w:val="32"/>
          <w:u w:val="none"/>
          <w:lang w:val="en-US" w:eastAsia="zh-CN"/>
        </w:rPr>
        <w:t>。根据</w:t>
      </w:r>
      <w:r>
        <w:rPr>
          <w:rFonts w:hint="eastAsia" w:ascii="仿宋_GB2312" w:hAnsi="仿宋_GB2312" w:cs="仿宋_GB2312"/>
          <w:color w:val="auto"/>
          <w:kern w:val="0"/>
          <w:sz w:val="32"/>
          <w:szCs w:val="32"/>
          <w:lang w:val="en-US" w:eastAsia="zh-CN" w:bidi="ar"/>
        </w:rPr>
        <w:t>《</w:t>
      </w:r>
      <w:r>
        <w:rPr>
          <w:rFonts w:hint="eastAsia" w:ascii="仿宋_GB2312" w:hAnsi="仿宋_GB2312" w:eastAsia="仿宋_GB2312" w:cs="仿宋_GB2312"/>
          <w:color w:val="auto"/>
          <w:kern w:val="0"/>
          <w:sz w:val="32"/>
          <w:szCs w:val="32"/>
          <w:lang w:val="en-US" w:eastAsia="zh-CN" w:bidi="ar"/>
        </w:rPr>
        <w:t>注册建造师执业管理办法</w:t>
      </w:r>
      <w:r>
        <w:rPr>
          <w:rFonts w:hint="eastAsia" w:ascii="仿宋_GB2312" w:hAnsi="仿宋_GB2312" w:cs="仿宋_GB2312"/>
          <w:color w:val="auto"/>
          <w:kern w:val="0"/>
          <w:sz w:val="32"/>
          <w:szCs w:val="32"/>
          <w:lang w:val="en-US" w:eastAsia="zh-CN" w:bidi="ar"/>
        </w:rPr>
        <w:t>》的规定，机电工程一级建造师的执业范围涵盖机电设备安装、电力、机电等，</w:t>
      </w:r>
      <w:r>
        <w:rPr>
          <w:rFonts w:hint="eastAsia" w:ascii="仿宋_GB2312" w:hAnsi="仿宋_GB2312" w:cs="仿宋_GB2312"/>
          <w:b w:val="0"/>
          <w:bCs w:val="0"/>
          <w:color w:val="auto"/>
          <w:sz w:val="32"/>
          <w:szCs w:val="32"/>
          <w:u w:val="none"/>
          <w:lang w:val="en-US" w:eastAsia="zh-CN"/>
        </w:rPr>
        <w:t>与</w:t>
      </w:r>
      <w:r>
        <w:rPr>
          <w:rFonts w:hint="eastAsia" w:ascii="仿宋_GB2312" w:hAnsi="仿宋_GB2312" w:cs="仿宋_GB2312"/>
          <w:color w:val="auto"/>
          <w:kern w:val="0"/>
          <w:sz w:val="32"/>
          <w:szCs w:val="32"/>
          <w:lang w:val="en-US" w:eastAsia="zh-CN" w:bidi="ar"/>
        </w:rPr>
        <w:t>该项目采购需求中明确的项目服务内容“变压器、配电箱、控制柜、监控中心、监控终端、电线电缆、光源、灯杆等一切路灯照明及夜景亮化设施和配套设施的日常巡查检查、检测试验、维修更换、清洁保养、应急抢修（含设施偷盗）等”相关，</w:t>
      </w:r>
      <w:r>
        <w:rPr>
          <w:rFonts w:hint="eastAsia" w:ascii="仿宋_GB2312" w:hAnsi="仿宋_GB2312" w:cs="仿宋_GB2312"/>
          <w:b w:val="0"/>
          <w:bCs w:val="0"/>
          <w:color w:val="auto"/>
          <w:sz w:val="32"/>
          <w:szCs w:val="32"/>
          <w:u w:val="none"/>
          <w:lang w:val="en-US" w:eastAsia="zh-CN"/>
        </w:rPr>
        <w:t>符合</w:t>
      </w:r>
      <w:r>
        <w:rPr>
          <w:rFonts w:hint="eastAsia" w:ascii="仿宋_GB2312" w:hAnsi="仿宋_GB2312" w:eastAsia="仿宋_GB2312" w:cs="仿宋_GB2312"/>
          <w:color w:val="auto"/>
          <w:kern w:val="0"/>
          <w:sz w:val="32"/>
          <w:szCs w:val="32"/>
          <w:lang w:val="en-US" w:eastAsia="zh-CN" w:bidi="ar"/>
        </w:rPr>
        <w:t>《政府采购货物和服务招标投标管理办法》（财政部令第87号）第五十五条的规定：评审因素的设定应当与投标人所提供货物服务的质量相关，包括投标报价、技术或者服务水平、履约能力、售后服务等。</w:t>
      </w:r>
    </w:p>
    <w:p w14:paraId="6F3314B9">
      <w:pPr>
        <w:keepNext w:val="0"/>
        <w:keepLines w:val="0"/>
        <w:widowControl/>
        <w:suppressLineNumbers w:val="0"/>
        <w:ind w:firstLine="624" w:firstLineChars="200"/>
        <w:jc w:val="left"/>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3.投诉事项3</w:t>
      </w:r>
      <w:r>
        <w:rPr>
          <w:rFonts w:hint="eastAsia" w:ascii="仿宋_GB2312" w:hAnsi="仿宋_GB2312" w:cs="仿宋_GB2312"/>
          <w:b/>
          <w:bCs/>
          <w:color w:val="auto"/>
          <w:kern w:val="0"/>
          <w:sz w:val="32"/>
          <w:szCs w:val="32"/>
          <w:lang w:val="en-US" w:eastAsia="zh-CN" w:bidi="ar"/>
        </w:rPr>
        <w:t>部分</w:t>
      </w:r>
      <w:r>
        <w:rPr>
          <w:rFonts w:hint="eastAsia" w:ascii="仿宋_GB2312" w:hAnsi="仿宋_GB2312" w:eastAsia="仿宋_GB2312" w:cs="仿宋_GB2312"/>
          <w:b/>
          <w:bCs/>
          <w:color w:val="auto"/>
          <w:kern w:val="0"/>
          <w:sz w:val="32"/>
          <w:szCs w:val="32"/>
          <w:lang w:val="en-US" w:eastAsia="zh-CN" w:bidi="ar"/>
        </w:rPr>
        <w:t>成立。</w:t>
      </w:r>
      <w:r>
        <w:rPr>
          <w:rFonts w:hint="eastAsia" w:ascii="仿宋_GB2312" w:hAnsi="仿宋_GB2312" w:cs="仿宋_GB2312"/>
          <w:b/>
          <w:bCs/>
          <w:color w:val="auto"/>
          <w:kern w:val="0"/>
          <w:sz w:val="32"/>
          <w:szCs w:val="32"/>
          <w:lang w:val="en-US" w:eastAsia="zh-CN" w:bidi="ar"/>
        </w:rPr>
        <w:t>一是</w:t>
      </w:r>
      <w:r>
        <w:rPr>
          <w:rFonts w:hint="eastAsia" w:ascii="仿宋_GB2312" w:hAnsi="仿宋_GB2312" w:eastAsia="仿宋_GB2312" w:cs="仿宋_GB2312"/>
          <w:color w:val="auto"/>
          <w:sz w:val="32"/>
          <w:szCs w:val="32"/>
          <w:u w:val="none"/>
          <w:lang w:val="en-US" w:eastAsia="zh-CN"/>
        </w:rPr>
        <w:t>招标文件</w:t>
      </w:r>
      <w:r>
        <w:rPr>
          <w:rFonts w:hint="eastAsia" w:ascii="仿宋_GB2312" w:hAnsi="仿宋_GB2312" w:cs="仿宋_GB2312"/>
          <w:color w:val="auto"/>
          <w:sz w:val="32"/>
          <w:szCs w:val="32"/>
          <w:u w:val="none"/>
          <w:lang w:val="en-US" w:eastAsia="zh-CN"/>
        </w:rPr>
        <w:t>评审因素中业绩加分项设置14分，分别要求</w:t>
      </w:r>
      <w:r>
        <w:rPr>
          <w:rFonts w:hint="eastAsia" w:ascii="仿宋_GB2312" w:hAnsi="仿宋_GB2312" w:eastAsia="仿宋_GB2312" w:cs="仿宋_GB2312"/>
          <w:color w:val="auto"/>
          <w:sz w:val="32"/>
          <w:szCs w:val="32"/>
          <w:u w:val="none"/>
          <w:lang w:val="en-US" w:eastAsia="zh-CN"/>
        </w:rPr>
        <w:t>4个市政道路路灯设施日常维修管养业绩</w:t>
      </w:r>
      <w:r>
        <w:rPr>
          <w:rFonts w:hint="eastAsia" w:ascii="仿宋_GB2312" w:hAnsi="仿宋_GB2312" w:cs="仿宋_GB2312"/>
          <w:color w:val="auto"/>
          <w:sz w:val="32"/>
          <w:szCs w:val="32"/>
          <w:u w:val="none"/>
          <w:lang w:val="en-US" w:eastAsia="zh-CN"/>
        </w:rPr>
        <w:t>及</w:t>
      </w:r>
      <w:r>
        <w:rPr>
          <w:rFonts w:hint="eastAsia" w:ascii="仿宋_GB2312" w:hAnsi="仿宋_GB2312" w:eastAsia="仿宋_GB2312" w:cs="仿宋_GB2312"/>
          <w:color w:val="auto"/>
          <w:sz w:val="32"/>
          <w:szCs w:val="32"/>
          <w:u w:val="none"/>
          <w:lang w:val="en-US" w:eastAsia="zh-CN"/>
        </w:rPr>
        <w:t>3个城市夜景照明设施维修管养业绩，</w:t>
      </w:r>
      <w:r>
        <w:rPr>
          <w:rFonts w:hint="eastAsia" w:ascii="仿宋_GB2312" w:hAnsi="仿宋_GB2312" w:cs="仿宋_GB2312"/>
          <w:color w:val="auto"/>
          <w:sz w:val="32"/>
          <w:szCs w:val="32"/>
          <w:u w:val="none"/>
          <w:lang w:val="en-US" w:eastAsia="zh-CN"/>
        </w:rPr>
        <w:t>并未违法政府采购法律法规。</w:t>
      </w:r>
      <w:r>
        <w:rPr>
          <w:rFonts w:hint="eastAsia" w:ascii="仿宋_GB2312" w:hAnsi="仿宋_GB2312" w:cs="仿宋_GB2312"/>
          <w:b/>
          <w:bCs/>
          <w:color w:val="auto"/>
          <w:kern w:val="0"/>
          <w:sz w:val="32"/>
          <w:szCs w:val="32"/>
          <w:lang w:val="en-US" w:eastAsia="zh-CN" w:bidi="ar"/>
        </w:rPr>
        <w:t>二是</w:t>
      </w:r>
      <w:r>
        <w:rPr>
          <w:rFonts w:hint="eastAsia" w:ascii="仿宋_GB2312" w:hAnsi="仿宋_GB2312" w:cs="仿宋_GB2312"/>
          <w:color w:val="auto"/>
          <w:sz w:val="32"/>
          <w:szCs w:val="32"/>
          <w:u w:val="none"/>
          <w:lang w:val="en-US" w:eastAsia="zh-CN"/>
        </w:rPr>
        <w:t>要求“市政道路路灯设施日常维修管养业绩”将该业绩限定在市政领域属于</w:t>
      </w:r>
      <w:r>
        <w:rPr>
          <w:rFonts w:hint="eastAsia" w:ascii="仿宋_GB2312" w:hAnsi="仿宋_GB2312" w:eastAsia="仿宋_GB2312" w:cs="仿宋_GB2312"/>
          <w:b w:val="0"/>
          <w:bCs w:val="0"/>
          <w:color w:val="auto"/>
          <w:kern w:val="0"/>
          <w:sz w:val="32"/>
          <w:szCs w:val="32"/>
          <w:lang w:val="en-US" w:eastAsia="zh-CN" w:bidi="ar"/>
        </w:rPr>
        <w:t>违反了《中华人民共和国政府采购法实施条例》第二十条第</w:t>
      </w:r>
      <w:r>
        <w:rPr>
          <w:rFonts w:hint="eastAsia" w:ascii="仿宋_GB2312" w:hAnsi="仿宋_GB2312" w:cs="仿宋_GB2312"/>
          <w:b w:val="0"/>
          <w:bCs w:val="0"/>
          <w:color w:val="auto"/>
          <w:kern w:val="0"/>
          <w:sz w:val="32"/>
          <w:szCs w:val="32"/>
          <w:lang w:val="en-US" w:eastAsia="zh-CN" w:bidi="ar"/>
        </w:rPr>
        <w:t>四</w:t>
      </w:r>
      <w:r>
        <w:rPr>
          <w:rFonts w:hint="eastAsia" w:ascii="仿宋_GB2312" w:hAnsi="仿宋_GB2312" w:eastAsia="仿宋_GB2312" w:cs="仿宋_GB2312"/>
          <w:b w:val="0"/>
          <w:bCs w:val="0"/>
          <w:color w:val="auto"/>
          <w:kern w:val="0"/>
          <w:sz w:val="32"/>
          <w:szCs w:val="32"/>
          <w:lang w:val="en-US" w:eastAsia="zh-CN" w:bidi="ar"/>
        </w:rPr>
        <w:t>项“以</w:t>
      </w:r>
      <w:r>
        <w:rPr>
          <w:rFonts w:hint="eastAsia" w:ascii="仿宋_GB2312" w:hAnsi="仿宋_GB2312" w:cs="仿宋_GB2312"/>
          <w:b w:val="0"/>
          <w:bCs w:val="0"/>
          <w:color w:val="auto"/>
          <w:kern w:val="0"/>
          <w:sz w:val="32"/>
          <w:szCs w:val="32"/>
          <w:lang w:val="en-US" w:eastAsia="zh-CN" w:bidi="ar"/>
        </w:rPr>
        <w:t>特定行政区域或者特定行业的业绩、奖励作为加分条件或者中标、成交条件</w:t>
      </w:r>
      <w:r>
        <w:rPr>
          <w:rFonts w:hint="eastAsia" w:ascii="仿宋_GB2312" w:hAnsi="仿宋_GB2312" w:eastAsia="仿宋_GB2312" w:cs="仿宋_GB2312"/>
          <w:b w:val="0"/>
          <w:bCs w:val="0"/>
          <w:color w:val="auto"/>
          <w:kern w:val="0"/>
          <w:sz w:val="32"/>
          <w:szCs w:val="32"/>
          <w:lang w:val="en-US" w:eastAsia="zh-CN" w:bidi="ar"/>
        </w:rPr>
        <w:t>”的情形。</w:t>
      </w:r>
    </w:p>
    <w:p w14:paraId="0EA07726">
      <w:pPr>
        <w:keepNext w:val="0"/>
        <w:keepLines w:val="0"/>
        <w:pageBreakBefore w:val="0"/>
        <w:numPr>
          <w:ilvl w:val="0"/>
          <w:numId w:val="0"/>
        </w:numPr>
        <w:kinsoku/>
        <w:wordWrap/>
        <w:overflowPunct/>
        <w:topLinePunct w:val="0"/>
        <w:autoSpaceDN/>
        <w:bidi w:val="0"/>
        <w:adjustRightInd/>
        <w:spacing w:line="540" w:lineRule="exact"/>
        <w:ind w:firstLine="624" w:firstLineChars="200"/>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xml:space="preserve"> 综上所述，第</w:t>
      </w:r>
      <w:r>
        <w:rPr>
          <w:rFonts w:hint="eastAsia" w:ascii="仿宋_GB2312" w:hAnsi="仿宋_GB2312" w:cs="仿宋_GB2312"/>
          <w:b w:val="0"/>
          <w:bCs w:val="0"/>
          <w:color w:val="auto"/>
          <w:kern w:val="0"/>
          <w:sz w:val="32"/>
          <w:szCs w:val="32"/>
          <w:lang w:val="en-US" w:eastAsia="zh-CN" w:bidi="ar"/>
        </w:rPr>
        <w:t>一</w:t>
      </w:r>
      <w:r>
        <w:rPr>
          <w:rFonts w:hint="eastAsia" w:ascii="仿宋_GB2312" w:hAnsi="仿宋_GB2312" w:eastAsia="仿宋_GB2312" w:cs="仿宋_GB2312"/>
          <w:b w:val="0"/>
          <w:bCs w:val="0"/>
          <w:color w:val="auto"/>
          <w:kern w:val="0"/>
          <w:sz w:val="32"/>
          <w:szCs w:val="32"/>
          <w:lang w:val="en-US" w:eastAsia="zh-CN" w:bidi="ar"/>
        </w:rPr>
        <w:t>条投诉事项成立，</w:t>
      </w:r>
      <w:r>
        <w:rPr>
          <w:rFonts w:hint="eastAsia" w:ascii="仿宋_GB2312" w:hAnsi="仿宋_GB2312" w:cs="仿宋_GB2312"/>
          <w:b w:val="0"/>
          <w:bCs w:val="0"/>
          <w:color w:val="auto"/>
          <w:kern w:val="0"/>
          <w:sz w:val="32"/>
          <w:szCs w:val="32"/>
          <w:lang w:val="en-US" w:eastAsia="zh-CN" w:bidi="ar"/>
        </w:rPr>
        <w:t>第三条投诉事项部分成立，</w:t>
      </w:r>
      <w:r>
        <w:rPr>
          <w:rFonts w:hint="eastAsia" w:ascii="仿宋_GB2312" w:hAnsi="仿宋_GB2312" w:eastAsia="仿宋_GB2312" w:cs="仿宋_GB2312"/>
          <w:b w:val="0"/>
          <w:bCs w:val="0"/>
          <w:color w:val="auto"/>
          <w:kern w:val="0"/>
          <w:sz w:val="32"/>
          <w:szCs w:val="32"/>
          <w:lang w:val="en-US" w:eastAsia="zh-CN" w:bidi="ar"/>
        </w:rPr>
        <w:t>其他事项不成立。根据《政府采购质疑和投诉办法》（财政部令第94号）第三十一条的规定，经认定成立的投诉事项影响或者可能影响采购结果的，未确定中标或者成交供应商的，责令</w:t>
      </w:r>
      <w:r>
        <w:rPr>
          <w:rFonts w:hint="eastAsia" w:ascii="仿宋_GB2312" w:hAnsi="仿宋_GB2312" w:cs="仿宋_GB2312"/>
          <w:b w:val="0"/>
          <w:bCs w:val="0"/>
          <w:color w:val="auto"/>
          <w:kern w:val="0"/>
          <w:sz w:val="32"/>
          <w:szCs w:val="32"/>
          <w:lang w:val="en-US" w:eastAsia="zh-CN" w:bidi="ar"/>
        </w:rPr>
        <w:t>采购人修改采购文件后</w:t>
      </w:r>
      <w:r>
        <w:rPr>
          <w:rFonts w:hint="eastAsia" w:ascii="仿宋_GB2312" w:hAnsi="仿宋_GB2312" w:eastAsia="仿宋_GB2312" w:cs="仿宋_GB2312"/>
          <w:b w:val="0"/>
          <w:bCs w:val="0"/>
          <w:color w:val="auto"/>
          <w:kern w:val="0"/>
          <w:sz w:val="32"/>
          <w:szCs w:val="32"/>
          <w:lang w:val="en-US" w:eastAsia="zh-CN" w:bidi="ar"/>
        </w:rPr>
        <w:t>重新开展采购活动。</w:t>
      </w:r>
    </w:p>
    <w:p w14:paraId="4BB0E3DA">
      <w:pPr>
        <w:keepNext w:val="0"/>
        <w:keepLines w:val="0"/>
        <w:pageBreakBefore w:val="0"/>
        <w:kinsoku/>
        <w:wordWrap/>
        <w:overflowPunct/>
        <w:topLinePunct w:val="0"/>
        <w:autoSpaceDN/>
        <w:bidi w:val="0"/>
        <w:adjustRightInd/>
        <w:spacing w:line="540" w:lineRule="exact"/>
        <w:ind w:firstLine="624"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六、其他补充事宜</w:t>
      </w:r>
    </w:p>
    <w:p w14:paraId="7F688D68">
      <w:pPr>
        <w:keepNext w:val="0"/>
        <w:keepLines w:val="0"/>
        <w:pageBreakBefore w:val="0"/>
        <w:numPr>
          <w:ilvl w:val="0"/>
          <w:numId w:val="0"/>
        </w:numPr>
        <w:kinsoku/>
        <w:wordWrap/>
        <w:overflowPunct/>
        <w:topLinePunct w:val="0"/>
        <w:autoSpaceDN/>
        <w:bidi w:val="0"/>
        <w:adjustRightInd/>
        <w:spacing w:line="54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r>
        <w:rPr>
          <w:rFonts w:hint="eastAsia" w:ascii="仿宋_GB2312" w:hAnsi="仿宋_GB2312" w:eastAsia="仿宋_GB2312" w:cs="仿宋_GB2312"/>
          <w:b w:val="0"/>
          <w:bCs w:val="0"/>
          <w:color w:val="auto"/>
          <w:kern w:val="0"/>
          <w:sz w:val="32"/>
          <w:szCs w:val="32"/>
          <w:lang w:val="en-US" w:eastAsia="zh-CN" w:bidi="ar"/>
        </w:rPr>
        <w:t>　　如不服本决定，可在本决定书送达之日起60日内向赣州经开区管委会申请行政复议，也可以在本决定书送达之日起6个月内向有管辖权人民法院提起行政诉讼。</w:t>
      </w:r>
    </w:p>
    <w:p w14:paraId="01C5E367">
      <w:pPr>
        <w:keepNext w:val="0"/>
        <w:keepLines w:val="0"/>
        <w:pageBreakBefore w:val="0"/>
        <w:numPr>
          <w:ilvl w:val="0"/>
          <w:numId w:val="0"/>
        </w:numPr>
        <w:kinsoku/>
        <w:wordWrap/>
        <w:overflowPunct/>
        <w:topLinePunct w:val="0"/>
        <w:autoSpaceDN/>
        <w:bidi w:val="0"/>
        <w:adjustRightInd/>
        <w:spacing w:line="560" w:lineRule="exact"/>
        <w:jc w:val="both"/>
        <w:textAlignment w:val="auto"/>
        <w:rPr>
          <w:rFonts w:hint="eastAsia" w:ascii="仿宋_GB2312" w:hAnsi="仿宋_GB2312" w:eastAsia="仿宋_GB2312" w:cs="仿宋_GB2312"/>
          <w:b w:val="0"/>
          <w:bCs w:val="0"/>
          <w:color w:val="auto"/>
          <w:kern w:val="0"/>
          <w:sz w:val="32"/>
          <w:szCs w:val="32"/>
          <w:lang w:val="en-US" w:eastAsia="zh-CN" w:bidi="ar"/>
        </w:rPr>
      </w:pPr>
    </w:p>
    <w:p w14:paraId="3DF2EED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_GB2312" w:cs="Times New Roman"/>
          <w:sz w:val="32"/>
          <w:szCs w:val="32"/>
          <w:lang w:val="en-US" w:eastAsia="zh-CN"/>
        </w:rPr>
        <w:t xml:space="preserve"> 赣州经济技术开发区财政局</w:t>
      </w:r>
    </w:p>
    <w:p w14:paraId="5B27D65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ascii="Times New Roman" w:hAnsi="Times New Roman"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cs="Times New Roman"/>
          <w:sz w:val="32"/>
          <w:szCs w:val="32"/>
          <w:lang w:val="en-US" w:eastAsia="zh-CN"/>
        </w:rPr>
        <w:t>9</w:t>
      </w:r>
      <w:r>
        <w:rPr>
          <w:rFonts w:hint="default" w:ascii="Times New Roman" w:hAnsi="Times New Roman" w:eastAsia="仿宋_GB2312" w:cs="Times New Roman"/>
          <w:sz w:val="32"/>
          <w:szCs w:val="32"/>
          <w:lang w:val="en-US" w:eastAsia="zh-CN"/>
        </w:rPr>
        <w:t>日</w:t>
      </w:r>
    </w:p>
    <w:p w14:paraId="2F459309">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33A43958">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766024F9">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45A82D5C">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p>
    <w:p w14:paraId="7EB31BB3">
      <w:pPr>
        <w:keepNext w:val="0"/>
        <w:keepLines w:val="0"/>
        <w:pageBreakBefore w:val="0"/>
        <w:numPr>
          <w:ilvl w:val="0"/>
          <w:numId w:val="0"/>
        </w:numPr>
        <w:kinsoku/>
        <w:wordWrap/>
        <w:overflowPunct/>
        <w:topLinePunct w:val="0"/>
        <w:autoSpaceDE/>
        <w:autoSpaceDN/>
        <w:bidi w:val="0"/>
        <w:adjustRightInd/>
        <w:spacing w:line="540" w:lineRule="exact"/>
        <w:ind w:firstLine="624" w:firstLineChars="200"/>
        <w:textAlignment w:val="auto"/>
        <w:rPr>
          <w:rFonts w:hint="default" w:ascii="Times New Roman" w:hAnsi="Times New Roman" w:eastAsia="仿宋_GB2312" w:cs="Times New Roman"/>
          <w:sz w:val="32"/>
          <w:szCs w:val="32"/>
          <w:lang w:val="en-US" w:eastAsia="zh-CN"/>
        </w:rPr>
      </w:pPr>
      <w:bookmarkStart w:id="0" w:name="_GoBack"/>
      <w:bookmarkEnd w:id="0"/>
    </w:p>
    <w:tbl>
      <w:tblPr>
        <w:tblStyle w:val="6"/>
        <w:tblpPr w:leftFromText="180" w:rightFromText="180" w:vertAnchor="text" w:horzAnchor="page" w:tblpX="1454" w:tblpY="65"/>
        <w:tblOverlap w:val="never"/>
        <w:tblW w:w="8946"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6342401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946" w:type="dxa"/>
            <w:noWrap w:val="0"/>
            <w:vAlign w:val="top"/>
          </w:tcPr>
          <w:p w14:paraId="2724AC51">
            <w:pPr>
              <w:pStyle w:val="5"/>
              <w:spacing w:before="0" w:beforeAutospacing="0" w:after="0" w:afterAutospacing="0" w:line="600" w:lineRule="exact"/>
              <w:ind w:firstLine="272" w:firstLineChars="100"/>
              <w:jc w:val="both"/>
              <w:rPr>
                <w:rFonts w:hint="default" w:ascii="Times New Roman" w:hAnsi="Times New Roman" w:eastAsia="仿宋_GB2312" w:cs="Times New Roman"/>
                <w:kern w:val="2"/>
                <w:sz w:val="28"/>
                <w:szCs w:val="28"/>
              </w:rPr>
            </w:pPr>
            <w:r>
              <w:rPr>
                <w:rFonts w:hint="default" w:ascii="Times New Roman" w:hAnsi="Times New Roman" w:eastAsia="仿宋" w:cs="Times New Roman"/>
                <w:kern w:val="2"/>
                <w:sz w:val="28"/>
                <w:szCs w:val="28"/>
              </w:rPr>
              <w:t>赣州</w:t>
            </w:r>
            <w:r>
              <w:rPr>
                <w:rFonts w:hint="default" w:ascii="Times New Roman" w:hAnsi="Times New Roman" w:eastAsia="仿宋" w:cs="Times New Roman"/>
                <w:kern w:val="2"/>
                <w:sz w:val="28"/>
                <w:szCs w:val="28"/>
                <w:lang w:eastAsia="zh-CN"/>
              </w:rPr>
              <w:t>经济技术开发区财政局综合</w:t>
            </w:r>
            <w:r>
              <w:rPr>
                <w:rFonts w:hint="eastAsia" w:ascii="Times New Roman" w:hAnsi="Times New Roman" w:eastAsia="仿宋" w:cs="Times New Roman"/>
                <w:kern w:val="2"/>
                <w:sz w:val="28"/>
                <w:szCs w:val="28"/>
                <w:lang w:eastAsia="zh-CN"/>
              </w:rPr>
              <w:t>组</w:t>
            </w:r>
            <w:r>
              <w:rPr>
                <w:rFonts w:hint="default" w:ascii="Times New Roman" w:hAnsi="Times New Roman" w:eastAsia="仿宋" w:cs="Times New Roman"/>
                <w:kern w:val="2"/>
                <w:sz w:val="28"/>
                <w:szCs w:val="28"/>
              </w:rPr>
              <w:t xml:space="preserve">  </w:t>
            </w:r>
            <w:r>
              <w:rPr>
                <w:rFonts w:hint="default" w:ascii="Times New Roman" w:hAnsi="Times New Roman" w:eastAsia="仿宋" w:cs="Times New Roman"/>
                <w:kern w:val="2"/>
                <w:sz w:val="28"/>
                <w:szCs w:val="28"/>
                <w:lang w:val="en-US" w:eastAsia="zh-CN"/>
              </w:rPr>
              <w:t xml:space="preserve">     </w:t>
            </w:r>
            <w:r>
              <w:rPr>
                <w:rFonts w:hint="default" w:ascii="Times New Roman" w:hAnsi="Times New Roman" w:eastAsia="仿宋" w:cs="Times New Roman"/>
                <w:kern w:val="2"/>
                <w:sz w:val="28"/>
                <w:szCs w:val="28"/>
              </w:rPr>
              <w:t xml:space="preserve">   </w:t>
            </w:r>
            <w:r>
              <w:rPr>
                <w:rFonts w:hint="eastAsia" w:ascii="Times New Roman" w:hAnsi="Times New Roman" w:eastAsia="仿宋" w:cs="Times New Roman"/>
                <w:kern w:val="2"/>
                <w:sz w:val="28"/>
                <w:szCs w:val="28"/>
                <w:lang w:val="en-US" w:eastAsia="zh-CN"/>
              </w:rPr>
              <w:t xml:space="preserve">  </w:t>
            </w:r>
            <w:r>
              <w:rPr>
                <w:rFonts w:hint="default" w:ascii="Times New Roman" w:hAnsi="Times New Roman" w:eastAsia="仿宋" w:cs="Times New Roman"/>
                <w:kern w:val="2"/>
                <w:sz w:val="28"/>
                <w:szCs w:val="28"/>
              </w:rPr>
              <w:t>20</w:t>
            </w:r>
            <w:r>
              <w:rPr>
                <w:rFonts w:hint="eastAsia" w:ascii="Times New Roman" w:hAnsi="Times New Roman" w:eastAsia="仿宋" w:cs="Times New Roman"/>
                <w:kern w:val="2"/>
                <w:sz w:val="28"/>
                <w:szCs w:val="28"/>
                <w:lang w:val="en-US" w:eastAsia="zh-CN"/>
              </w:rPr>
              <w:t>25</w:t>
            </w:r>
            <w:r>
              <w:rPr>
                <w:rFonts w:hint="default" w:ascii="Times New Roman" w:hAnsi="Times New Roman" w:eastAsia="仿宋" w:cs="Times New Roman"/>
                <w:kern w:val="2"/>
                <w:sz w:val="28"/>
                <w:szCs w:val="28"/>
              </w:rPr>
              <w:t>年</w:t>
            </w:r>
            <w:r>
              <w:rPr>
                <w:rFonts w:hint="eastAsia" w:ascii="Times New Roman" w:hAnsi="Times New Roman" w:eastAsia="仿宋" w:cs="Times New Roman"/>
                <w:kern w:val="2"/>
                <w:sz w:val="28"/>
                <w:szCs w:val="28"/>
                <w:lang w:val="en-US" w:eastAsia="zh-CN"/>
              </w:rPr>
              <w:t>7</w:t>
            </w:r>
            <w:r>
              <w:rPr>
                <w:rFonts w:hint="default" w:ascii="Times New Roman" w:hAnsi="Times New Roman" w:eastAsia="仿宋" w:cs="Times New Roman"/>
                <w:kern w:val="2"/>
                <w:sz w:val="28"/>
                <w:szCs w:val="28"/>
              </w:rPr>
              <w:t>月</w:t>
            </w:r>
            <w:r>
              <w:rPr>
                <w:rFonts w:hint="eastAsia" w:ascii="Times New Roman" w:hAnsi="Times New Roman" w:eastAsia="仿宋" w:cs="Times New Roman"/>
                <w:kern w:val="2"/>
                <w:sz w:val="28"/>
                <w:szCs w:val="28"/>
                <w:lang w:val="en-US" w:eastAsia="zh-CN"/>
              </w:rPr>
              <w:t>9</w:t>
            </w:r>
            <w:r>
              <w:rPr>
                <w:rFonts w:hint="default" w:ascii="Times New Roman" w:hAnsi="Times New Roman" w:eastAsia="仿宋" w:cs="Times New Roman"/>
                <w:kern w:val="2"/>
                <w:sz w:val="28"/>
                <w:szCs w:val="28"/>
              </w:rPr>
              <w:t>日印发</w:t>
            </w:r>
          </w:p>
        </w:tc>
      </w:tr>
    </w:tbl>
    <w:p w14:paraId="4902EBCD">
      <w:pPr>
        <w:widowControl/>
        <w:spacing w:line="480" w:lineRule="exact"/>
        <w:ind w:right="475"/>
        <w:jc w:val="both"/>
        <w:rPr>
          <w:rFonts w:hint="eastAsia" w:ascii="仿宋" w:hAnsi="仿宋" w:eastAsia="仿宋" w:cs="仿宋_GB2312"/>
          <w:color w:val="000000"/>
          <w:kern w:val="0"/>
          <w:szCs w:val="32"/>
        </w:rPr>
      </w:pPr>
    </w:p>
    <w:p w14:paraId="30CD80FF"/>
    <w:sectPr>
      <w:headerReference r:id="rId3" w:type="default"/>
      <w:footerReference r:id="rId5" w:type="default"/>
      <w:headerReference r:id="rId4" w:type="even"/>
      <w:footerReference r:id="rId6" w:type="even"/>
      <w:pgSz w:w="11906" w:h="16838"/>
      <w:pgMar w:top="2098" w:right="1588" w:bottom="1701" w:left="1588" w:header="964" w:footer="1304" w:gutter="0"/>
      <w:pgNumType w:fmt="numberInDash"/>
      <w:cols w:space="720" w:num="1"/>
      <w:formProt w:val="0"/>
      <w:docGrid w:type="linesAndChars" w:linePitch="573" w:charSpace="-184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B197E">
    <w:pPr>
      <w:pStyle w:val="3"/>
      <w:tabs>
        <w:tab w:val="clear" w:pos="4153"/>
        <w:tab w:val="clear" w:pos="8306"/>
      </w:tabs>
      <w:ind w:left="350" w:right="360"/>
      <w:jc w:val="right"/>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DA85A">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3</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0DA85A">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3</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2154">
    <w:pPr>
      <w:pStyle w:val="3"/>
      <w:tabs>
        <w:tab w:val="clear" w:pos="4153"/>
        <w:tab w:val="clear" w:pos="8306"/>
      </w:tabs>
      <w:ind w:left="350" w:right="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72D57">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2</w:t>
                          </w:r>
                          <w:r>
                            <w:rPr>
                              <w:rFonts w:hint="eastAsia" w:ascii="宋体" w:hAnsi="宋体" w:eastAsia="宋体" w:cs="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6072D57">
                    <w:pPr>
                      <w:pStyle w:val="3"/>
                      <w:rPr>
                        <w:rStyle w:val="8"/>
                      </w:rPr>
                    </w:pPr>
                    <w:r>
                      <w:rPr>
                        <w:rFonts w:hint="eastAsia" w:ascii="宋体" w:hAnsi="宋体" w:eastAsia="宋体" w:cs="宋体"/>
                      </w:rPr>
                      <w:fldChar w:fldCharType="begin"/>
                    </w:r>
                    <w:r>
                      <w:rPr>
                        <w:rStyle w:val="8"/>
                        <w:rFonts w:hint="eastAsia" w:ascii="宋体" w:hAnsi="宋体" w:eastAsia="宋体" w:cs="宋体"/>
                      </w:rPr>
                      <w:instrText xml:space="preserve">PAGE  </w:instrText>
                    </w:r>
                    <w:r>
                      <w:rPr>
                        <w:rFonts w:hint="eastAsia" w:ascii="宋体" w:hAnsi="宋体" w:eastAsia="宋体" w:cs="宋体"/>
                      </w:rPr>
                      <w:fldChar w:fldCharType="separate"/>
                    </w:r>
                    <w:r>
                      <w:rPr>
                        <w:rStyle w:val="8"/>
                        <w:rFonts w:hint="eastAsia" w:ascii="宋体" w:hAnsi="宋体" w:eastAsia="宋体" w:cs="宋体"/>
                      </w:rPr>
                      <w:t>2</w:t>
                    </w:r>
                    <w:r>
                      <w:rPr>
                        <w:rFonts w:hint="eastAsia" w:ascii="宋体" w:hAnsi="宋体" w:eastAsia="宋体" w:cs="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B084D">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01F85">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EDA36B"/>
    <w:multiLevelType w:val="singleLevel"/>
    <w:tmpl w:val="81EDA36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7F3213"/>
    <w:rsid w:val="3F5F2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pPr>
      <w:widowControl/>
      <w:snapToGrid w:val="0"/>
      <w:spacing w:after="120"/>
      <w:ind w:firstLine="360"/>
      <w:jc w:val="left"/>
    </w:pPr>
    <w:rPr>
      <w:rFonts w:ascii="Verdana" w:hAnsi="Verdana" w:eastAsia="楷体_GB2312"/>
      <w:kern w:val="0"/>
      <w:sz w:val="24"/>
      <w:szCs w:val="20"/>
      <w:lang w:eastAsia="en-US"/>
    </w:rPr>
  </w:style>
  <w:style w:type="paragraph" w:styleId="3">
    <w:name w:val="footer"/>
    <w:basedOn w:val="1"/>
    <w:qFormat/>
    <w:uiPriority w:val="0"/>
    <w:pPr>
      <w:tabs>
        <w:tab w:val="center" w:pos="4153"/>
        <w:tab w:val="right" w:pos="8306"/>
      </w:tabs>
      <w:snapToGrid w:val="0"/>
      <w:jc w:val="left"/>
    </w:pPr>
    <w:rPr>
      <w:rFonts w:eastAsia="仿宋_GB2312"/>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page number"/>
    <w:basedOn w:val="7"/>
    <w:qFormat/>
    <w:uiPriority w:val="0"/>
    <w:rPr>
      <w:rFonts w:eastAsia="宋体"/>
      <w:sz w:val="28"/>
    </w:rPr>
  </w:style>
  <w:style w:type="paragraph" w:customStyle="1" w:styleId="9">
    <w:name w:val="秘密紧急"/>
    <w:basedOn w:val="1"/>
    <w:qFormat/>
    <w:uiPriority w:val="0"/>
    <w:pPr>
      <w:jc w:val="right"/>
    </w:pPr>
    <w:rPr>
      <w:rFonts w:ascii="黑体" w:eastAsia="黑体"/>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3061</Words>
  <Characters>3137</Characters>
  <Lines>0</Lines>
  <Paragraphs>0</Paragraphs>
  <TotalTime>0</TotalTime>
  <ScaleCrop>false</ScaleCrop>
  <LinksUpToDate>false</LinksUpToDate>
  <CharactersWithSpaces>3210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2025-07-10T07:20:00Z</dcterms:created>
  <dc:creator>user</dc:creator>
  <cp:lastModifiedBy>Sylvie</cp:lastModifiedBy>
  <dcterms:modified xsi:type="dcterms:W3CDTF">2025-07-11T08:12:30Z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eyJoZGlkIjoiYTMxYzI0MTEwOGFhOTI4YTQzZTAzMzU3OGZlMmRmOWYiLCJ1c2VySWQiOiI0NTM2NDU3NTAifQ==</vt:lpwstr>
  </property>
  <property fmtid="{D5CDD505-2E9C-101B-9397-08002B2CF9AE}" pid="4" name="ICV">
    <vt:lpwstr>F6AF76B585FF4F83A0DFD4431C21865D_12</vt:lpwstr>
  </property>
</Properties>
</file>