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永财购罚决[2023]10号</w:t>
      </w: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永  丰  县  财  政  局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行政处罚决定书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当事人</w:t>
      </w:r>
      <w:r>
        <w:rPr>
          <w:rFonts w:hint="eastAsia" w:ascii="仿宋_GB2312" w:eastAsia="仿宋_GB2312"/>
          <w:sz w:val="32"/>
          <w:szCs w:val="32"/>
        </w:rPr>
        <w:t>：江西顺通交通工程有限公司</w:t>
      </w:r>
    </w:p>
    <w:p>
      <w:pPr>
        <w:spacing w:line="560" w:lineRule="exact"/>
        <w:rPr>
          <w:rFonts w:hint="eastAsia" w:ascii="仿宋_GB2312" w:eastAsia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地址</w:t>
      </w:r>
      <w:r>
        <w:rPr>
          <w:rFonts w:hint="eastAsia" w:ascii="仿宋_GB2312" w:eastAsia="仿宋_GB2312"/>
          <w:sz w:val="32"/>
          <w:szCs w:val="32"/>
        </w:rPr>
        <w:t>：江西省南昌市高新区紫阳大道3088号泰豪科技广场A座23楼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：涂小林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法人身份证号：</w:t>
      </w:r>
      <w:r>
        <w:rPr>
          <w:rFonts w:ascii="仿宋_GB2312" w:eastAsia="仿宋_GB2312"/>
          <w:sz w:val="32"/>
          <w:szCs w:val="32"/>
        </w:rPr>
        <w:t>91360100746076140X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在处理“永丰县村道波形护栏、标志牌、广角镜、减速带等安全生命防护设施采购及安装工程”（采购项目编号：JXGH2023-C10）的投诉案中，发现你公司投标文件中编号为：BG-2022-JXJK-JAJ-077-001的检测报告为虚假证书。经依法调查，认定违法违规事实、处罚依据及行政处罚决定如下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一、违法事实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司于2023年5月8日参加“永丰县村道波形护栏、标志牌、广角镜、减速带等安全生命防护设施采购及安装工程”（采购项目编号：JXGH2023-C10）”政府采购招投标活动，项目招标文件将“金属标志牌优越性”设置为技术评审因素，你公司投标文件中提供了金属标志牌检测报告1份。对你公司投标文件中提供检测报告（金属标志牌检测报告编号：BG-2022-JXJK-JAJ-077-001盖有江西省交通运输科学研究院检测有限公司检测检验专用章）。经江西省交通运输科学研究院检测有限公司纸质回函确认：检测报告编号：BG-2022-JXJK-JAJ-077-001与检测机构留存原件存在部分数据被</w:t>
      </w:r>
      <w:r>
        <w:rPr>
          <w:rFonts w:hint="eastAsia" w:ascii="宋体" w:hAnsi="宋体"/>
          <w:sz w:val="32"/>
          <w:szCs w:val="32"/>
        </w:rPr>
        <w:t>篡改</w:t>
      </w:r>
      <w:r>
        <w:rPr>
          <w:rFonts w:hint="eastAsia" w:ascii="仿宋_GB2312" w:eastAsia="仿宋_GB2312"/>
          <w:sz w:val="32"/>
          <w:szCs w:val="32"/>
        </w:rPr>
        <w:t>。据此，你公司参与政府采购招标项目中提供的检测报告编号BG-2022-JXJK-JAJ-077-001为虚假证书，具有《中华人民共和国政府采购法》第七十七条第一款第（一）项规定的提供虚假材料谋取中标、成交的情形。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以上事实有项目招标文件、你公司投标文件、江西省交通运输科学研究院检测有限公司协查复函等证据证实。</w:t>
      </w:r>
    </w:p>
    <w:p>
      <w:pPr>
        <w:ind w:firstLine="640" w:firstLineChars="2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我局于2023年8月1日通过EMS向你公司邮寄了《行政处罚告知书》,告知了违法事实、依据和拟作出的行政处罚内容，并告知依法享有的陈述、申辩及要求听证等权利。2023年8月8日我局收到你公司的《行政处罚申辩书》，申辩经我局核查，我局对你公司提出的申辩理由予以部分采纳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二、处罚依据及处罚决定 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采购法》第七十七条第一款“供应商有下列情形之一的，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：（一）提供虚假材料谋取中标、成交的；”及《中华人民共和国政府采购法》第七十七条第二款“供应商有前款第（一）至（五）项情形之一的，中标、成交无效”之规定。</w:t>
      </w:r>
      <w:r>
        <w:rPr>
          <w:rFonts w:hint="eastAsia" w:ascii="仿宋_GB2312" w:eastAsia="仿宋_GB2312"/>
          <w:color w:val="000000"/>
          <w:sz w:val="32"/>
          <w:szCs w:val="32"/>
        </w:rPr>
        <w:t>依据《优化营商环境条例》（国令第722号）第59条</w:t>
      </w:r>
      <w:r>
        <w:rPr>
          <w:rFonts w:hint="eastAsi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鉴于你公司有主动配合调查并承认错误，尚未造成重大后果，对你公司作出如下行政处罚：</w:t>
      </w:r>
      <w:r>
        <w:rPr>
          <w:rFonts w:hint="eastAsia" w:ascii="仿宋_GB2312" w:eastAsia="仿宋_GB2312"/>
          <w:sz w:val="32"/>
          <w:szCs w:val="32"/>
        </w:rPr>
        <w:t>处以采购金额（预算金额）千分之五,即人民币</w:t>
      </w:r>
      <w:r>
        <w:rPr>
          <w:rFonts w:hint="eastAsia" w:ascii="仿宋_GB2312" w:eastAsia="仿宋_GB2312"/>
          <w:color w:val="333333"/>
          <w:spacing w:val="15"/>
          <w:sz w:val="32"/>
          <w:szCs w:val="32"/>
        </w:rPr>
        <w:t>玖仟伍佰肆拾叁元</w:t>
      </w:r>
      <w:r>
        <w:rPr>
          <w:rFonts w:hint="eastAsia" w:ascii="仿宋_GB2312" w:eastAsia="仿宋_GB2312"/>
          <w:sz w:val="32"/>
          <w:szCs w:val="32"/>
        </w:rPr>
        <w:t>整（</w:t>
      </w:r>
      <w:r>
        <w:rPr>
          <w:rFonts w:hint="eastAsia" w:ascii="仿宋_GB2312" w:eastAsia="仿宋_GB2312"/>
          <w:color w:val="333333"/>
          <w:spacing w:val="15"/>
          <w:sz w:val="32"/>
          <w:szCs w:val="32"/>
        </w:rPr>
        <w:t>¥9543元</w:t>
      </w:r>
      <w:r>
        <w:rPr>
          <w:rFonts w:hint="eastAsia" w:ascii="仿宋_GB2312" w:eastAsia="仿宋_GB2312"/>
          <w:sz w:val="32"/>
          <w:szCs w:val="32"/>
        </w:rPr>
        <w:t>）的罚款。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三、行政处罚决定的履行方式和期限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行政处罚法》的规定，当事人应当自收到本行政处罚决定书之日起十五日内，凭缴款码通过赣服通、微信“江西财政”公众号或非税收入各银行核缴罚款，逾期不缴纳罚款的，本机关可以根据《中华人民共和国行政处罚法》第七十二条第一款第（一）项的规定，每日按罚款数额的百分之三加处罚款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四、权利告知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事人如不服本行政处罚决定，可在收到本处罚决定书之日起60日内向永丰县人民政府或上级财政部门申请行政复议，也可以在收到本行政处罚决定之日起6个月内向人民法院提起行政诉讼。复议或诉讼期间，本行政处罚不停止执行。当事人在上述法定期限内，既不申请行政复议或提起行政诉讼，又未履行本行政处罚义务的，本局将依法申请人民法院强制执行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永丰县财政局        2023年8月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NmZlMDk4M2U1ZTgxZDJkNzY1Njg2ZjJkNTZmZjYifQ=="/>
  </w:docVars>
  <w:rsids>
    <w:rsidRoot w:val="003F5FF2"/>
    <w:rsid w:val="00035CCD"/>
    <w:rsid w:val="002A354B"/>
    <w:rsid w:val="003F5FF2"/>
    <w:rsid w:val="0054234E"/>
    <w:rsid w:val="006F615C"/>
    <w:rsid w:val="00896153"/>
    <w:rsid w:val="0092020B"/>
    <w:rsid w:val="009B7ED5"/>
    <w:rsid w:val="00B902B8"/>
    <w:rsid w:val="00BF6F42"/>
    <w:rsid w:val="00C27885"/>
    <w:rsid w:val="00C577EF"/>
    <w:rsid w:val="00D0374A"/>
    <w:rsid w:val="57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1352</Words>
  <Characters>1517</Characters>
  <Lines>11</Lines>
  <Paragraphs>3</Paragraphs>
  <TotalTime>300</TotalTime>
  <ScaleCrop>false</ScaleCrop>
  <LinksUpToDate>false</LinksUpToDate>
  <CharactersWithSpaces>1579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2023-08-24T03:09:00Z</dcterms:created>
  <dc:creator>Administrator</dc:creator>
  <cp:lastModifiedBy>半轮明月</cp:lastModifiedBy>
  <dcterms:modified xsi:type="dcterms:W3CDTF">2023-08-31T06:55:26Z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995BD197C4CB4A94B4A96ACABCF99578_12</vt:lpwstr>
  </property>
</Properties>
</file>