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永财购诉决[2023]15号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bookmarkStart w:id="0" w:name="_GoBack"/>
      <w:bookmarkEnd w:id="0"/>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both"/>
        <w:rPr>
          <w:rFonts w:hint="eastAsia" w:ascii="仿宋" w:hAnsi="仿宋" w:eastAsia="仿宋"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YFSJYZC2023-02</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永丰县垃圾分类配套设施项目（中转站压缩设备等）</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湖北嘉铭汽车有限公司</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湖北随州市曾都区擂鼓墩大道</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永丰县城市管理局</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永丰县跃进路16号</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 w:hAnsi="仿宋" w:eastAsia="仿宋"/>
          <w:sz w:val="32"/>
          <w:szCs w:val="32"/>
          <w:lang w:val="en-US" w:eastAsia="zh-CN"/>
        </w:rPr>
        <w:t>永丰县建筑设计院</w:t>
      </w:r>
    </w:p>
    <w:p>
      <w:pPr>
        <w:widowControl/>
        <w:shd w:val="clear" w:color="auto" w:fill="FFFFFF"/>
        <w:spacing w:line="560" w:lineRule="atLeas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地址：永丰县住房和城乡建设局二楼</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投诉人2023年9月16日对本项目向政府采购代理机构提出质疑，代理机构于9月21日对质疑进行了答复，投诉人对代理机构质疑答复不满意。10月9日投诉人通过邮寄方式向本机关提起投诉。10月13日，本机关向投诉人发出补正投诉材料通知书。10月18日本机关再次收到投诉人通过邮寄方式补正的投诉材料。</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称一：招标文件评分项要求“（评审依据：提供加盖公章由省级及以上有资质的第三方检验检测机构出具的具有CNAS、CMA等认证标志检测或检验检测报告原件扫描件佐证计分。中标后提供原件交采购人复核。）”不合理，属于设置更高的评标条件，影响其他潜在投标人公平参与竞争，增设投标人的义务，是以不合理的条件对供应商实行差别待遇或歧视待遇，属于擅自提高采购标准，排斥其他供应商采购标准、排斥其他供应商参与政府招投标活动。</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投诉人答复：一、根据《政府采购货物和服务招标投标管理办法》第二十条“采购人或者采购代理机构应当根据采购项目的特点和采购需求编制招标文件。”及《中华人民共和国政府采购法》第二十二条“供应商参加政府采购活动应当具备下列条件：采购人可以根据采购项目的特殊要求，规定供应商的特定条件。”之规定，为了防止各投标人为谋取中标而进行虚假响应，要求各投标人在投标时提供第三方检测机构出具的检测报告合法合理，不存在擅自提高采购标准的情形。</w:t>
      </w:r>
    </w:p>
    <w:p>
      <w:pPr>
        <w:widowControl/>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二、该项技术需</w:t>
      </w:r>
      <w:r>
        <w:rPr>
          <w:rFonts w:hint="eastAsia" w:ascii="仿宋_GB2312" w:hAnsi="仿宋_GB2312" w:eastAsia="仿宋_GB2312" w:cs="仿宋_GB2312"/>
          <w:kern w:val="2"/>
          <w:sz w:val="32"/>
          <w:szCs w:val="32"/>
          <w:lang w:val="en-US" w:eastAsia="zh-CN" w:bidi="ar-SA"/>
        </w:rPr>
        <w:t>求是根据项目的具体特点与采购人的实际需要而设置的，且招标文件在进行此项设置时，已进行过专门的调研，一般检测机构均可在该时间内出具检测报告。对于部分文字描述，是对产品所需达到的性能的描述，不要求检测报告中的文字完全一致，在评审时由评审专家依据其专业经验进行评审。</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三、根据《检验检测机构资质认定管理办法》第二十一条规定“检验检测机构向社会出具具有证明作用的检验检测数据、结果的，应当在其检验检测报告上标注资质认定标志。”CNAS是依法经</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"https://baike.sogou.com/lemma/ShowInnerLink.htm?lemmaId=72191316" \t "_blank"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国家市场监督管理总局</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确定，从事认证机构、实验室、检验机构、审定与核查机构等合格评定机构认可评价活动的权威机构，CMA是检验检测机构资质认定标志。不具备CMA资质的检测机构出具的报告只能用于内部研究，而不具有法律效力，不能作为证明材料使用。因此在政府采购活动中，要求提供的检测报告的出具单位依法设置或依法授权的具备相应法定资质的机构合法合理。</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四、关于招标文件中能否设置检测报告的问题，可参考财政部国库司。</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投诉事项称二：招标文件评分标准《综合实力》：1.所投核心产品制造商获得政府部门颁发的质量奖或者质量提名奖的得分。</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人答复：“工程技术中心”、“企业技术中心”、“质量奖”等证书是对供应商设备技术水平、质量水平的考察，此评审因素的设置是根据项目的具体特点与实际需要而设置的，符合《政府采购货物和服务招标投标管理办法》第五十五条第二款“评审因素的设定应当与投标人所提供货物服务的质量相关，包括投标报价、技术或者服务水平、履约能力、售后服务等。”之规定。</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投诉事项三：招标文件评分标准《综合实力》：3.投标人或所投核心产品制造商获得在有效期内的质量管理体系、环境管理体系、职业健康安全管理体系、能源管理体系认证证书，每1项得0.5分，最高得2分。</w:t>
      </w:r>
    </w:p>
    <w:p>
      <w:p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上述评分条件将能源管理体系认证证书作为评分项是属于为特定供应商中标提供便利条件。属于设定的资格、技术、商务条件与采购项目的具体特点和实际需要不相适应或者与合同履行无关。</w:t>
      </w:r>
    </w:p>
    <w:p>
      <w:pPr>
        <w:spacing w:line="360" w:lineRule="auto"/>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投诉人答复：更正后的招标文件中已删除能源管理体系认证证书的评分因素，该项投诉不成立。(见附后修改后的评审办法）。</w:t>
      </w:r>
    </w:p>
    <w:p>
      <w:pPr>
        <w:spacing w:line="360" w:lineRule="auto"/>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六、处理依据及结果</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投诉事项一：投诉不成立。招标文件在采购需求基础上提出更高要求作为加分项，是为了使用同样资金采购到质量更好、性能更优的产品，并要求具有CMA或 CNAS标志的检测报告予以佐证合情合理，不属于擅自提高采购标准排斥其他供应商参与政府采购活动。</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二：投诉不成立。招标文件将获得政府部门颁发的质量奖或质量提名奖作为加分项，是为了采购质量可靠的产品，依此作为评审因素与货物质量息息相关；另外，要求投标人或所投核心产品制造商拥有省级及以上政府部门认定的“工程研究中心”、“企业技术中心”，说明投标人或制造商取其一即可，而《政府采购货物和服务招标投标管理》第十七条针对的对象是投标人，非制造商。此评分项不属于采购法实施条例第二十二条第四项“特定行政区域和特定行业的业绩”和第七项“以其他不合理条件限制或者排斥供应商。”</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投诉事项三：投诉不成立。招标文件已作调整，删除了将《能源管理体系认证证书》作为评审因素。</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上述事实依据有招标文件、专家协助答复意见及相关答复材料等为证。法律依据为《中华人民共和国政府采购法》《中华人民共和国政府采购法实施条例》《政府采购货物和服务招标投标管理办法 》（财政部令第87号）《政府采购质疑和投诉办法》（财政部令第94号）《《政府采购需求管理办法》》《江西省政府采购管理实施办法》等相关法律法规。</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投诉人的投诉事项一、二、三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七、权利告知</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如不服本决定，可以在接到本决定书之日起60日内向永丰县人民政府申请行政复议，或者在接到本决定书之日起6个月内依法向永丰县人民法院提起行政诉讼。</w:t>
      </w:r>
    </w:p>
    <w:p>
      <w:pPr>
        <w:spacing w:line="360" w:lineRule="auto"/>
        <w:ind w:firstLine="640" w:firstLineChars="200"/>
        <w:rPr>
          <w:rFonts w:hint="eastAsia" w:ascii="仿宋_GB2312" w:hAnsi="仿宋_GB2312" w:eastAsia="仿宋_GB2312" w:cs="仿宋_GB2312"/>
          <w:kern w:val="2"/>
          <w:sz w:val="32"/>
          <w:szCs w:val="32"/>
          <w:lang w:val="en-US" w:eastAsia="zh-CN" w:bidi="ar-SA"/>
        </w:rPr>
      </w:pPr>
    </w:p>
    <w:p>
      <w:pPr>
        <w:spacing w:line="360" w:lineRule="auto"/>
        <w:ind w:firstLine="5440" w:firstLineChars="17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永丰县财政局</w:t>
      </w:r>
    </w:p>
    <w:p>
      <w:pPr>
        <w:spacing w:line="360" w:lineRule="auto"/>
        <w:ind w:firstLine="640" w:firstLineChars="200"/>
        <w:rPr>
          <w:rFonts w:hint="eastAsia" w:ascii="仿宋_GB2312" w:hAnsi="仿宋_GB2312" w:eastAsia="仿宋_GB2312" w:cs="仿宋_GB2312"/>
          <w:b w:val="0"/>
          <w:bCs w:val="0"/>
          <w:sz w:val="28"/>
          <w:szCs w:val="32"/>
        </w:rPr>
      </w:pPr>
      <w:r>
        <w:rPr>
          <w:rFonts w:hint="eastAsia" w:ascii="仿宋_GB2312" w:hAnsi="仿宋_GB2312" w:eastAsia="仿宋_GB2312" w:cs="仿宋_GB2312"/>
          <w:kern w:val="2"/>
          <w:sz w:val="32"/>
          <w:szCs w:val="32"/>
          <w:lang w:val="en-US" w:eastAsia="zh-CN" w:bidi="ar-SA"/>
        </w:rPr>
        <w:t xml:space="preserve">                             2023年11月7日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52381"/>
    <w:rsid w:val="00283553"/>
    <w:rsid w:val="00293C96"/>
    <w:rsid w:val="00334503"/>
    <w:rsid w:val="00365D25"/>
    <w:rsid w:val="00371E20"/>
    <w:rsid w:val="003A70E4"/>
    <w:rsid w:val="003C3537"/>
    <w:rsid w:val="004B1330"/>
    <w:rsid w:val="004D5740"/>
    <w:rsid w:val="005A1B4B"/>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12F1122"/>
    <w:rsid w:val="036B01F4"/>
    <w:rsid w:val="05EA1442"/>
    <w:rsid w:val="05EC7396"/>
    <w:rsid w:val="08D24D3B"/>
    <w:rsid w:val="0A7A6896"/>
    <w:rsid w:val="0E76520D"/>
    <w:rsid w:val="0F4867FE"/>
    <w:rsid w:val="0FBA4E97"/>
    <w:rsid w:val="0FF04C5A"/>
    <w:rsid w:val="115912F5"/>
    <w:rsid w:val="117049F3"/>
    <w:rsid w:val="130767D9"/>
    <w:rsid w:val="13EB21F9"/>
    <w:rsid w:val="149B2994"/>
    <w:rsid w:val="16C15493"/>
    <w:rsid w:val="170257C7"/>
    <w:rsid w:val="172E39E8"/>
    <w:rsid w:val="17C50FB3"/>
    <w:rsid w:val="19FF664E"/>
    <w:rsid w:val="1DFA2A1E"/>
    <w:rsid w:val="1E1F4A47"/>
    <w:rsid w:val="1FF1600F"/>
    <w:rsid w:val="222E588B"/>
    <w:rsid w:val="22544EFC"/>
    <w:rsid w:val="22C668AB"/>
    <w:rsid w:val="243674C1"/>
    <w:rsid w:val="251E59A8"/>
    <w:rsid w:val="25524EF5"/>
    <w:rsid w:val="25C25266"/>
    <w:rsid w:val="26537907"/>
    <w:rsid w:val="27764078"/>
    <w:rsid w:val="27793638"/>
    <w:rsid w:val="27AD49EF"/>
    <w:rsid w:val="287606B8"/>
    <w:rsid w:val="288D1679"/>
    <w:rsid w:val="291F71B4"/>
    <w:rsid w:val="2A934DCF"/>
    <w:rsid w:val="2C2C491A"/>
    <w:rsid w:val="2E872A38"/>
    <w:rsid w:val="2EF55C95"/>
    <w:rsid w:val="2FA77745"/>
    <w:rsid w:val="304E3AD7"/>
    <w:rsid w:val="32C721B4"/>
    <w:rsid w:val="35277EC4"/>
    <w:rsid w:val="357A2F85"/>
    <w:rsid w:val="376F718C"/>
    <w:rsid w:val="377F4179"/>
    <w:rsid w:val="394F1889"/>
    <w:rsid w:val="3C2721C5"/>
    <w:rsid w:val="3C3E419D"/>
    <w:rsid w:val="3C7D70DA"/>
    <w:rsid w:val="3CEF05EA"/>
    <w:rsid w:val="3D2F4655"/>
    <w:rsid w:val="3DB86DD6"/>
    <w:rsid w:val="3E5325C6"/>
    <w:rsid w:val="400B75FC"/>
    <w:rsid w:val="44EF7CC9"/>
    <w:rsid w:val="46222FA9"/>
    <w:rsid w:val="47190127"/>
    <w:rsid w:val="48A6795E"/>
    <w:rsid w:val="4BC0129A"/>
    <w:rsid w:val="4D3A7451"/>
    <w:rsid w:val="4F53518A"/>
    <w:rsid w:val="4F7F321A"/>
    <w:rsid w:val="4FF57235"/>
    <w:rsid w:val="50777524"/>
    <w:rsid w:val="55AA20E7"/>
    <w:rsid w:val="56BB37B3"/>
    <w:rsid w:val="5A696955"/>
    <w:rsid w:val="5A762E3E"/>
    <w:rsid w:val="5B353327"/>
    <w:rsid w:val="5CB62246"/>
    <w:rsid w:val="5DEC4171"/>
    <w:rsid w:val="62320893"/>
    <w:rsid w:val="637F3391"/>
    <w:rsid w:val="63B7355E"/>
    <w:rsid w:val="642167B4"/>
    <w:rsid w:val="67C748D9"/>
    <w:rsid w:val="68374295"/>
    <w:rsid w:val="69396DCA"/>
    <w:rsid w:val="6AD27B71"/>
    <w:rsid w:val="6CFA6F55"/>
    <w:rsid w:val="6DE35C2C"/>
    <w:rsid w:val="72A810AE"/>
    <w:rsid w:val="74795FE8"/>
    <w:rsid w:val="75295853"/>
    <w:rsid w:val="75A562CE"/>
    <w:rsid w:val="77177B54"/>
    <w:rsid w:val="78474B59"/>
    <w:rsid w:val="7CCB0AC0"/>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tabs>
        <w:tab w:val="left" w:pos="992"/>
      </w:tabs>
      <w:adjustRightInd w:val="0"/>
      <w:spacing w:line="460" w:lineRule="exact"/>
      <w:ind w:left="992" w:hanging="992"/>
      <w:jc w:val="left"/>
      <w:textAlignment w:val="baseline"/>
      <w:outlineLvl w:val="3"/>
    </w:pPr>
    <w:rPr>
      <w:kern w:val="0"/>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pPr>
      <w:spacing w:after="120"/>
    </w:pPr>
    <w:rPr>
      <w:kern w:val="0"/>
      <w:sz w:val="24"/>
      <w:szCs w:val="24"/>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Body Text First Indent"/>
    <w:basedOn w:val="4"/>
    <w:qFormat/>
    <w:uiPriority w:val="0"/>
    <w:pPr>
      <w:ind w:firstLine="420" w:firstLineChars="100"/>
    </w:pPr>
    <w:rPr>
      <w:rFonts w:ascii="Times New Roman" w:hAnsi="Times New Roman" w:eastAsia="宋体" w:cs="Times New Roman"/>
    </w:rPr>
  </w:style>
  <w:style w:type="character" w:styleId="10">
    <w:name w:val="FollowedHyperlink"/>
    <w:basedOn w:val="9"/>
    <w:autoRedefine/>
    <w:semiHidden/>
    <w:unhideWhenUsed/>
    <w:qFormat/>
    <w:uiPriority w:val="99"/>
    <w:rPr>
      <w:color w:val="800080"/>
      <w:u w:val="none"/>
    </w:rPr>
  </w:style>
  <w:style w:type="character" w:styleId="11">
    <w:name w:val="Emphasis"/>
    <w:basedOn w:val="9"/>
    <w:autoRedefine/>
    <w:qFormat/>
    <w:uiPriority w:val="20"/>
  </w:style>
  <w:style w:type="character" w:styleId="12">
    <w:name w:val="Hyperlink"/>
    <w:basedOn w:val="9"/>
    <w:autoRedefine/>
    <w:semiHidden/>
    <w:unhideWhenUsed/>
    <w:qFormat/>
    <w:uiPriority w:val="99"/>
    <w:rPr>
      <w:color w:val="0000FF"/>
      <w:u w:val="none"/>
    </w:rPr>
  </w:style>
  <w:style w:type="character" w:customStyle="1" w:styleId="13">
    <w:name w:val="页眉 字符"/>
    <w:basedOn w:val="9"/>
    <w:link w:val="6"/>
    <w:autoRedefine/>
    <w:qFormat/>
    <w:uiPriority w:val="99"/>
    <w:rPr>
      <w:sz w:val="18"/>
      <w:szCs w:val="18"/>
    </w:rPr>
  </w:style>
  <w:style w:type="character" w:customStyle="1" w:styleId="14">
    <w:name w:val="页脚 字符"/>
    <w:basedOn w:val="9"/>
    <w:link w:val="5"/>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_37aak"/>
    <w:basedOn w:val="9"/>
    <w:autoRedefine/>
    <w:qFormat/>
    <w:uiPriority w:val="0"/>
  </w:style>
  <w:style w:type="character" w:customStyle="1" w:styleId="17">
    <w:name w:val="hover7"/>
    <w:basedOn w:val="9"/>
    <w:autoRedefine/>
    <w:qFormat/>
    <w:uiPriority w:val="0"/>
    <w:rPr>
      <w:color w:val="315EF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16</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2023-11-06T08:14:00Z</cp:lastPrinted>
  <dcterms:modified xsi:type="dcterms:W3CDTF">2024-02-23T08:36:41Z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