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江西优仪实业有限公司</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 xml:space="preserve">地 </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 xml:space="preserve"> </w:t>
      </w:r>
      <w:r>
        <w:rPr>
          <w:rFonts w:ascii="Times New Roman" w:hAnsi="Times New Roman" w:eastAsia="仿宋_GB2312" w:cs="Times New Roman"/>
          <w:color w:val="000000" w:themeColor="text1"/>
          <w:kern w:val="0"/>
          <w:sz w:val="32"/>
          <w:szCs w:val="32"/>
          <w14:textFill>
            <w14:solidFill>
              <w14:schemeClr w14:val="tx1"/>
            </w14:solidFill>
          </w14:textFill>
        </w:rPr>
        <w:t>址：</w:t>
      </w:r>
      <w:r>
        <w:rPr>
          <w:rFonts w:hint="eastAsia" w:ascii="Times New Roman" w:hAnsi="Times New Roman" w:eastAsia="仿宋_GB2312" w:cs="Times New Roman"/>
          <w:color w:val="000000" w:themeColor="text1"/>
          <w:sz w:val="32"/>
          <w:szCs w:val="32"/>
          <w14:textFill>
            <w14:solidFill>
              <w14:schemeClr w14:val="tx1"/>
            </w14:solidFill>
          </w14:textFill>
        </w:rPr>
        <w:t>江西省南昌市红谷滩区丰和南大道2111号世茂新城A-12地块商业项目4-6#商业楼-308室</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江西优仪实业有限公司在宜春市城市功能区声环境质量自动监测系统建设项目（项目编号：大业-YC2024-011）中提供虚假材料谋取中标</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bookmarkStart w:id="1" w:name="_GoBack"/>
      <w:bookmarkEnd w:id="1"/>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依据《中华人民共和国政府采购法》第七十七条，本机关决定对江西优仪实业有限公司</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罚款</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6500元，</w:t>
      </w:r>
      <w:r>
        <w:rPr>
          <w:rFonts w:hint="eastAsia" w:eastAsia="仿宋_GB2312"/>
          <w:color w:val="000000"/>
          <w:sz w:val="32"/>
          <w:szCs w:val="32"/>
        </w:rPr>
        <w:t>列入不良行为记录名单，在一年内禁止参加政府采购活动</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15</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D272CF6-9B0C-415A-8814-717F20033F8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683D761A-6215-444C-AB87-435D7DA6D65F}"/>
  </w:font>
  <w:font w:name="方正小标宋简体">
    <w:panose1 w:val="02010600010101010101"/>
    <w:charset w:val="86"/>
    <w:family w:val="script"/>
    <w:pitch w:val="default"/>
    <w:sig w:usb0="00000001" w:usb1="080E0000" w:usb2="00000000" w:usb3="00000000" w:csb0="00040000" w:csb1="00000000"/>
    <w:embedRegular r:id="rId3" w:fontKey="{160A11B1-9788-4C52-8CE9-7EB7FAEA721D}"/>
  </w:font>
  <w:font w:name="华文中宋">
    <w:panose1 w:val="02010600040101010101"/>
    <w:charset w:val="86"/>
    <w:family w:val="auto"/>
    <w:pitch w:val="default"/>
    <w:sig w:usb0="00000287" w:usb1="080F0000" w:usb2="00000000" w:usb3="00000000" w:csb0="0004009F" w:csb1="DFD70000"/>
    <w:embedRegular r:id="rId4" w:fontKey="{0B55DD73-F766-4338-8927-E1EFFD5C6981}"/>
  </w:font>
  <w:font w:name="仿宋_GB2312">
    <w:panose1 w:val="02010609030101010101"/>
    <w:charset w:val="86"/>
    <w:family w:val="modern"/>
    <w:pitch w:val="default"/>
    <w:sig w:usb0="00000001" w:usb1="080E0000" w:usb2="00000000" w:usb3="00000000" w:csb0="00040000" w:csb1="00000000"/>
    <w:embedRegular r:id="rId5" w:fontKey="{E4A95682-81DA-4CFA-98D6-266826A32C0E}"/>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03F12886"/>
    <w:rsid w:val="16263DB3"/>
    <w:rsid w:val="274A4034"/>
    <w:rsid w:val="27CB0A80"/>
    <w:rsid w:val="2E074B5F"/>
    <w:rsid w:val="310D40F6"/>
    <w:rsid w:val="36D1697E"/>
    <w:rsid w:val="481F069F"/>
    <w:rsid w:val="517356CA"/>
    <w:rsid w:val="5B6D2E89"/>
    <w:rsid w:val="5EEF25DC"/>
    <w:rsid w:val="6C467E87"/>
    <w:rsid w:val="76D45B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qFormat/>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qFormat/>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224</Words>
  <Characters>249</Characters>
  <Lines>2</Lines>
  <Paragraphs>1</Paragraphs>
  <TotalTime>0</TotalTime>
  <ScaleCrop>false</ScaleCrop>
  <LinksUpToDate>false</LinksUpToDate>
  <CharactersWithSpaces>312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2025-05-22T03:12:14Z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F2E81D9495D64B818E95BA618D43EFA3_13</vt:lpwstr>
  </property>
  <property fmtid="{D5CDD505-2E9C-101B-9397-08002B2CF9AE}" pid="4" name="KSOTemplateDocerSaveRecord">
    <vt:lpwstr>eyJoZGlkIjoiOWFkNzQxYTg2OGQwN2UxYTEzNWZjODFmMTFlNjU3ODciLCJ1c2VySWQiOiIzMTE0NzUzMDgifQ==</vt:lpwstr>
  </property>
</Properties>
</file>