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0" w:beforeAutospacing="0" w:after="0" w:afterAutospacing="0" w:line="600" w:lineRule="exact"/>
        <w:ind w:left="0" w:right="0"/>
        <w:jc w:val="center"/>
        <w:textAlignment w:val="baseline"/>
        <w:rPr>
          <w:rStyle w:val="10"/>
          <w:rFonts w:hint="eastAsia" w:ascii="方正小标宋简体" w:hAnsi="宋体" w:eastAsia="方正小标宋简体" w:cs="黑体"/>
          <w:b w:val="0"/>
          <w:color w:val="000000"/>
          <w:spacing w:val="-10"/>
          <w:sz w:val="44"/>
          <w:szCs w:val="44"/>
          <w:shd w:val="clear" w:color="auto" w:fill="FFFFFF"/>
          <w:lang w:eastAsia="zh-CN" w:bidi="ar-SA"/>
        </w:rPr>
      </w:pPr>
      <w:r>
        <w:rPr>
          <w:rStyle w:val="10"/>
          <w:rFonts w:hint="eastAsia" w:ascii="方正小标宋简体" w:hAnsi="宋体" w:eastAsia="方正小标宋简体" w:cs="黑体"/>
          <w:b w:val="0"/>
          <w:color w:val="000000"/>
          <w:spacing w:val="-10"/>
          <w:sz w:val="44"/>
          <w:szCs w:val="44"/>
          <w:shd w:val="clear" w:color="auto" w:fill="FFFFFF"/>
          <w:lang w:bidi="ar-SA"/>
        </w:rPr>
        <w:t>关于对“</w:t>
      </w:r>
      <w:r>
        <w:rPr>
          <w:rStyle w:val="10"/>
          <w:rFonts w:hint="eastAsia" w:ascii="方正小标宋简体" w:hAnsi="宋体" w:eastAsia="方正小标宋简体" w:cs="黑体"/>
          <w:b w:val="0"/>
          <w:color w:val="000000"/>
          <w:spacing w:val="-10"/>
          <w:sz w:val="44"/>
          <w:szCs w:val="44"/>
          <w:shd w:val="clear" w:color="auto" w:fill="FFFFFF"/>
          <w:lang w:eastAsia="zh-CN" w:bidi="ar-SA"/>
        </w:rPr>
        <w:t>吉州区城北</w:t>
      </w:r>
      <w:r>
        <w:rPr>
          <w:rStyle w:val="10"/>
          <w:rFonts w:hint="eastAsia" w:ascii="方正小标宋简体" w:hAnsi="宋体" w:eastAsia="方正小标宋简体" w:cs="黑体"/>
          <w:b w:val="0"/>
          <w:color w:val="000000"/>
          <w:spacing w:val="-10"/>
          <w:sz w:val="44"/>
          <w:szCs w:val="44"/>
          <w:shd w:val="clear" w:color="auto" w:fill="FFFFFF"/>
          <w:lang w:val="en-US" w:eastAsia="zh-CN" w:bidi="ar-SA"/>
        </w:rPr>
        <w:t>新区智慧灯杆</w:t>
      </w:r>
      <w:r>
        <w:rPr>
          <w:rStyle w:val="10"/>
          <w:rFonts w:hint="eastAsia" w:ascii="方正小标宋简体" w:hAnsi="宋体" w:eastAsia="方正小标宋简体" w:cs="黑体"/>
          <w:b w:val="0"/>
          <w:color w:val="000000"/>
          <w:spacing w:val="-10"/>
          <w:sz w:val="44"/>
          <w:szCs w:val="44"/>
          <w:shd w:val="clear" w:color="auto" w:fill="FFFFFF"/>
          <w:lang w:eastAsia="zh-CN" w:bidi="ar-SA"/>
        </w:rPr>
        <w:t>建设项目</w:t>
      </w:r>
      <w:r>
        <w:rPr>
          <w:rStyle w:val="10"/>
          <w:rFonts w:hint="eastAsia" w:ascii="方正小标宋简体" w:hAnsi="宋体" w:eastAsia="方正小标宋简体" w:cs="黑体"/>
          <w:b w:val="0"/>
          <w:color w:val="000000"/>
          <w:spacing w:val="-10"/>
          <w:sz w:val="44"/>
          <w:szCs w:val="44"/>
          <w:shd w:val="clear" w:color="auto" w:fill="FFFFFF"/>
          <w:lang w:bidi="ar-SA"/>
        </w:rPr>
        <w:t>”投诉处理</w:t>
      </w:r>
      <w:r>
        <w:rPr>
          <w:rStyle w:val="10"/>
          <w:rFonts w:hint="eastAsia" w:ascii="方正小标宋简体" w:hAnsi="宋体" w:eastAsia="方正小标宋简体" w:cs="黑体"/>
          <w:b w:val="0"/>
          <w:color w:val="000000"/>
          <w:spacing w:val="-10"/>
          <w:sz w:val="44"/>
          <w:szCs w:val="44"/>
          <w:shd w:val="clear" w:color="auto" w:fill="FFFFFF"/>
          <w:lang w:val="en-US" w:eastAsia="zh-CN" w:bidi="ar-SA"/>
        </w:rPr>
        <w:t>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0" w:afterAutospacing="0" w:line="600" w:lineRule="exact"/>
        <w:ind w:left="0" w:right="0" w:firstLine="0"/>
        <w:jc w:val="right"/>
        <w:textAlignment w:val="baseline"/>
        <w:rPr>
          <w:rFonts w:hint="eastAsia" w:ascii="宋体" w:hAnsi="宋体" w:eastAsia="宋体" w:cs="宋体"/>
          <w:i w:val="0"/>
          <w:iCs w:val="0"/>
          <w:caps w:val="0"/>
          <w:color w:val="000000"/>
          <w:spacing w:val="0"/>
          <w:sz w:val="24"/>
          <w:szCs w:val="24"/>
        </w:rPr>
      </w:pPr>
      <w:r>
        <w:rPr>
          <w:rFonts w:ascii="仿宋_GB2312" w:hAnsi="仿宋_GB2312" w:eastAsia="仿宋_GB2312" w:cs="仿宋_GB2312"/>
          <w:b w:val="0"/>
          <w:bCs w:val="0"/>
          <w:i w:val="0"/>
          <w:iCs w:val="0"/>
          <w:caps w:val="0"/>
          <w:color w:val="000000"/>
          <w:spacing w:val="0"/>
          <w:sz w:val="31"/>
          <w:szCs w:val="31"/>
          <w:shd w:val="clear" w:fill="FFFFFF"/>
          <w:vertAlign w:val="baseline"/>
        </w:rPr>
        <w:t>吉区财购投诉〔</w:t>
      </w:r>
      <w:r>
        <w:rPr>
          <w:rFonts w:hint="default" w:ascii="仿宋_GB2312" w:hAnsi="仿宋_GB2312" w:eastAsia="仿宋_GB2312" w:cs="仿宋_GB2312"/>
          <w:b w:val="0"/>
          <w:bCs w:val="0"/>
          <w:i w:val="0"/>
          <w:iCs w:val="0"/>
          <w:caps w:val="0"/>
          <w:color w:val="000000"/>
          <w:spacing w:val="0"/>
          <w:sz w:val="31"/>
          <w:szCs w:val="31"/>
          <w:shd w:val="clear" w:fill="FFFFFF"/>
          <w:vertAlign w:val="baseline"/>
        </w:rPr>
        <w:t>202</w:t>
      </w:r>
      <w:r>
        <w:rPr>
          <w:rFonts w:hint="default" w:ascii="仿宋_GB2312" w:hAnsi="仿宋_GB2312" w:eastAsia="仿宋_GB2312" w:cs="仿宋_GB2312"/>
          <w:b w:val="0"/>
          <w:bCs w:val="0"/>
          <w:i w:val="0"/>
          <w:iCs w:val="0"/>
          <w:caps w:val="0"/>
          <w:color w:val="auto"/>
          <w:spacing w:val="0"/>
          <w:sz w:val="31"/>
          <w:szCs w:val="31"/>
          <w:shd w:val="clear" w:fill="FFFFFF"/>
          <w:vertAlign w:val="baseline"/>
        </w:rPr>
        <w:t>3〕</w:t>
      </w:r>
      <w:r>
        <w:rPr>
          <w:rFonts w:hint="eastAsia" w:ascii="仿宋_GB2312" w:hAnsi="仿宋_GB2312" w:eastAsia="仿宋_GB2312" w:cs="仿宋_GB2312"/>
          <w:b w:val="0"/>
          <w:bCs w:val="0"/>
          <w:i w:val="0"/>
          <w:iCs w:val="0"/>
          <w:caps w:val="0"/>
          <w:color w:val="auto"/>
          <w:spacing w:val="0"/>
          <w:sz w:val="31"/>
          <w:szCs w:val="31"/>
          <w:shd w:val="clear" w:fill="FFFFFF"/>
          <w:vertAlign w:val="baseline"/>
          <w:lang w:val="en-US" w:eastAsia="zh-CN"/>
        </w:rPr>
        <w:t>3</w:t>
      </w:r>
      <w:bookmarkStart w:id="1" w:name="_GoBack"/>
      <w:bookmarkEnd w:id="1"/>
      <w:r>
        <w:rPr>
          <w:rFonts w:hint="default" w:ascii="仿宋_GB2312" w:hAnsi="仿宋_GB2312" w:eastAsia="仿宋_GB2312" w:cs="仿宋_GB2312"/>
          <w:b w:val="0"/>
          <w:bCs w:val="0"/>
          <w:i w:val="0"/>
          <w:iCs w:val="0"/>
          <w:caps w:val="0"/>
          <w:color w:val="auto"/>
          <w:spacing w:val="0"/>
          <w:sz w:val="31"/>
          <w:szCs w:val="31"/>
          <w:shd w:val="clear" w:fill="FFFFFF"/>
          <w:vertAlign w:val="baseline"/>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eastAsia="zh-CN"/>
        </w:rPr>
        <w:t>JXSZXZFCG2023Z12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eastAsia="zh-CN"/>
        </w:rPr>
        <w:t>吉州区城北</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新区智慧灯杆</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eastAsia="zh-CN"/>
        </w:rPr>
        <w:t>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三、相关当事人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扬州烨辉照明设备有限公司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扬州市信息服务产业基地内</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10号楼508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投诉人2:江西弓律科技有限公司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地址：江西省上饶市信州区凤凰大道676号公园道一号尊品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被投诉人1：</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吉安市吉州区城市管理局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吉州区解缙路</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67号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被投诉人2：</w:t>
      </w:r>
      <w:bookmarkStart w:id="0" w:name="_Toc199"/>
      <w:r>
        <w:rPr>
          <w:rFonts w:hint="eastAsia" w:ascii="仿宋_GB2312" w:hAnsi="仿宋_GB2312" w:eastAsia="仿宋_GB2312" w:cs="仿宋_GB2312"/>
          <w:i w:val="0"/>
          <w:iCs w:val="0"/>
          <w:caps w:val="0"/>
          <w:color w:val="000000"/>
          <w:spacing w:val="0"/>
          <w:sz w:val="32"/>
          <w:szCs w:val="32"/>
          <w:shd w:val="clear" w:fill="FFFFFF"/>
          <w:vertAlign w:val="baseline"/>
        </w:rPr>
        <w:t>江西省朝旭企业管理咨询有限公司</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吉安市吉州区井冈山大道201号三楼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四、基本情况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投诉人对江西省朝旭企业管理咨询有限公司代理的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吉州区城北</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新区智慧灯杆</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建设项目</w:t>
      </w:r>
      <w:r>
        <w:rPr>
          <w:rFonts w:hint="eastAsia" w:ascii="仿宋_GB2312" w:hAnsi="仿宋_GB2312" w:eastAsia="仿宋_GB2312" w:cs="仿宋_GB2312"/>
          <w:i w:val="0"/>
          <w:iCs w:val="0"/>
          <w:caps w:val="0"/>
          <w:color w:val="000000"/>
          <w:spacing w:val="0"/>
          <w:sz w:val="32"/>
          <w:szCs w:val="32"/>
          <w:shd w:val="clear" w:fill="FFFFFF"/>
          <w:vertAlign w:val="baseline"/>
        </w:rPr>
        <w:t>（项目编号：</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JXSZXZFCG2023Z12</w:t>
      </w:r>
      <w:r>
        <w:rPr>
          <w:rFonts w:hint="eastAsia" w:ascii="仿宋_GB2312" w:hAnsi="仿宋_GB2312" w:eastAsia="仿宋_GB2312" w:cs="仿宋_GB2312"/>
          <w:i w:val="0"/>
          <w:iCs w:val="0"/>
          <w:caps w:val="0"/>
          <w:color w:val="000000"/>
          <w:spacing w:val="0"/>
          <w:sz w:val="32"/>
          <w:szCs w:val="32"/>
          <w:shd w:val="clear" w:fill="FFFFFF"/>
          <w:vertAlign w:val="baseline"/>
        </w:rPr>
        <w:t>）的质疑答复不满意，于2023年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6</w:t>
      </w:r>
      <w:r>
        <w:rPr>
          <w:rFonts w:hint="eastAsia" w:ascii="仿宋_GB2312" w:hAnsi="仿宋_GB2312" w:eastAsia="仿宋_GB2312" w:cs="仿宋_GB2312"/>
          <w:i w:val="0"/>
          <w:iCs w:val="0"/>
          <w:caps w:val="0"/>
          <w:color w:val="000000"/>
          <w:spacing w:val="0"/>
          <w:sz w:val="32"/>
          <w:szCs w:val="32"/>
          <w:shd w:val="clear" w:fill="FFFFFF"/>
          <w:vertAlign w:val="baseline"/>
        </w:rPr>
        <w:t>月27日</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）与</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2023年7月6日</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分别</w:t>
      </w:r>
      <w:r>
        <w:rPr>
          <w:rFonts w:hint="eastAsia" w:ascii="仿宋_GB2312" w:hAnsi="仿宋_GB2312" w:eastAsia="仿宋_GB2312" w:cs="仿宋_GB2312"/>
          <w:i w:val="0"/>
          <w:iCs w:val="0"/>
          <w:caps w:val="0"/>
          <w:color w:val="000000"/>
          <w:spacing w:val="0"/>
          <w:sz w:val="32"/>
          <w:szCs w:val="32"/>
          <w:shd w:val="clear" w:fill="FFFFFF"/>
          <w:vertAlign w:val="baseline"/>
        </w:rPr>
        <w:t>向我局提起投诉。经依法审查，现本投诉案已审查终结。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333333"/>
          <w:spacing w:val="0"/>
          <w:sz w:val="32"/>
          <w:szCs w:val="32"/>
          <w:shd w:val="clear" w:fill="FFFFFF"/>
          <w:vertAlign w:val="baseline"/>
        </w:rPr>
        <w:t>投诉人</w:t>
      </w: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1</w:t>
      </w:r>
      <w:r>
        <w:rPr>
          <w:rFonts w:hint="eastAsia" w:ascii="楷体_GB2312" w:hAnsi="楷体_GB2312" w:eastAsia="楷体_GB2312" w:cs="楷体_GB2312"/>
          <w:b/>
          <w:bCs/>
          <w:i w:val="0"/>
          <w:iCs w:val="0"/>
          <w:caps w:val="0"/>
          <w:color w:val="333333"/>
          <w:spacing w:val="0"/>
          <w:sz w:val="32"/>
          <w:szCs w:val="32"/>
          <w:shd w:val="clear" w:fill="FFFFFF"/>
          <w:vertAlign w:val="baseline"/>
        </w:rPr>
        <w:t>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投诉事项1：</w:t>
      </w:r>
      <w:r>
        <w:rPr>
          <w:rFonts w:hint="eastAsia" w:ascii="仿宋_GB2312" w:hAnsi="仿宋_GB2312" w:eastAsia="仿宋_GB2312" w:cs="仿宋_GB2312"/>
          <w:i w:val="0"/>
          <w:iCs w:val="0"/>
          <w:caps w:val="0"/>
          <w:color w:val="000000"/>
          <w:spacing w:val="0"/>
          <w:sz w:val="32"/>
          <w:szCs w:val="32"/>
          <w:lang w:val="en-US" w:eastAsia="zh-CN"/>
        </w:rPr>
        <w:t>此项目评分细则中，商务部分的投标人企业实力评分中设置的资质和证书要求过高，不由怀疑这是否是为某家供应商量身定做的评分点，为之设立高门槛，使得其他潜在供应商望而却步，打击了其他潜在供应商参与投标的积极性，违反了政府采购的公平、公正、公开原则，与政府大力推行的优化良好营商环境政策相违背。投标人集团范围是包含分公司，子公司。按政府采购法相关规定，子公司的资质证书不能作为母公司投标所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投诉事项2:</w:t>
      </w:r>
      <w:r>
        <w:rPr>
          <w:rFonts w:hint="eastAsia" w:ascii="仿宋_GB2312" w:hAnsi="仿宋_GB2312" w:eastAsia="仿宋_GB2312" w:cs="仿宋_GB2312"/>
          <w:i w:val="0"/>
          <w:iCs w:val="0"/>
          <w:caps w:val="0"/>
          <w:color w:val="000000"/>
          <w:spacing w:val="0"/>
          <w:sz w:val="32"/>
          <w:szCs w:val="32"/>
          <w:lang w:val="en-US" w:eastAsia="zh-CN"/>
        </w:rPr>
        <w:t>此项目评分细则中，商务部分的制造商企业实力评分中设置的资质和证书要求过高，且与所提供的货物质量无关，且入选国家工程部重点实验室或省级工信部门重点实验室的、国家级成果奖的等申报条件小型企业根本无法满足，然而招标文件明确说明“本项目非专门面向中小企业采购，但本项目中小企业预留份额大于40%,其中预留给小微企业的比例不低于60%”。设置了中小企业完全无法达到的门槛，让中小企业缺少分数参与招标活动，只能为大型企业作陪衬。打击了小型企业参与投标的积极性，违反了政府采购的公平、公正、公开原则，与政府大力推行的优化良好营商环境政策相违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投诉事项3:</w:t>
      </w:r>
      <w:r>
        <w:rPr>
          <w:rFonts w:hint="eastAsia" w:ascii="仿宋_GB2312" w:hAnsi="仿宋_GB2312" w:eastAsia="仿宋_GB2312" w:cs="仿宋_GB2312"/>
          <w:i w:val="0"/>
          <w:iCs w:val="0"/>
          <w:caps w:val="0"/>
          <w:color w:val="000000"/>
          <w:spacing w:val="0"/>
          <w:sz w:val="32"/>
          <w:szCs w:val="32"/>
          <w:lang w:val="en-US" w:eastAsia="zh-CN"/>
        </w:rPr>
        <w:t>此项目评分细则中，商务部分的人员实力评分中设置的资质和证书要求过高且过于具体，或许有些公司可以针对招标文件要求找寻符合条件人员，然而评审依据要求开标前社保，不由怀疑这是否是为某家供应商量身定做的评分点，毕竟从事路灯相关的企业也无法想象需要网络安全工程师资质和注册信息安全工程师资质，我公司怀疑这是为某家供应商量身定做的评分点，为之设立控分项，违反了政府采购的公平、公正、公开原则，与政府大力推行的优化良好营商环境政策相违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rPr>
      </w:pPr>
      <w:r>
        <w:rPr>
          <w:rFonts w:hint="eastAsia" w:ascii="楷体_GB2312" w:hAnsi="楷体_GB2312" w:eastAsia="楷体_GB2312" w:cs="楷体_GB2312"/>
          <w:b/>
          <w:bCs/>
          <w:i w:val="0"/>
          <w:iCs w:val="0"/>
          <w:caps w:val="0"/>
          <w:color w:val="333333"/>
          <w:spacing w:val="0"/>
          <w:sz w:val="32"/>
          <w:szCs w:val="32"/>
          <w:shd w:val="clear" w:fill="FFFFFF"/>
          <w:vertAlign w:val="baseline"/>
        </w:rPr>
        <w:t>被投诉人称：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投诉</w:t>
      </w:r>
      <w:r>
        <w:rPr>
          <w:rFonts w:hint="eastAsia" w:ascii="仿宋_GB2312" w:hAnsi="仿宋_GB2312" w:eastAsia="仿宋_GB2312" w:cs="仿宋_GB2312"/>
          <w:b/>
          <w:bCs/>
          <w:i w:val="0"/>
          <w:iCs w:val="0"/>
          <w:caps w:val="0"/>
          <w:color w:val="333333"/>
          <w:spacing w:val="0"/>
          <w:sz w:val="32"/>
          <w:szCs w:val="32"/>
          <w:shd w:val="clear" w:fill="FFFFFF"/>
          <w:vertAlign w:val="baseline"/>
        </w:rPr>
        <w:t>事项1：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潜在供应商只要满足资格要求，都可以参与本项目投标。潜在供应商既可以是拥有独立法人的公司，也可以是拥有营业执照（负责人制）的属地分公司或分支机构。根据《中华人民共和国民法典》第七十四条：“法人可以依法设立分支机构，分支机构以自己的名义从事民事活动，产生的民事责任由法人承担；也可以先以该分支机构管理的财产承担，不足以承担人，由法人承担。”《中华人民共和国公司法》第十四条公司可以设立分公司。设立分公司，应当向公司登记机关申请登记，领取营业执照。分公司不具有法人资格，其民事责任由公司承担。则分公司可以直接适用母公司范围内的资质和业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本条加分项中已明确，只要投标人或者投标人集团范围内具有相应实力，即可得分。本条评审因素是采购人根据项目特点制定的加分项，与本项目的采购需求、产品质量和合同履约有直接关系；评分因素与采购需求相适应，是将投标人的企业优势作为评分项，属于择优选择投标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3、投诉人认为“是为某家供应商量身定做的评分点，为之设立高门槛，使得其他潜在供应商望而却步”未按94号令要求提供必要得证明材料及事实依据，也未提供指向特定哪家公司或产品。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vertAlign w:val="baseline"/>
        </w:rPr>
        <w:t>投诉事项2：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1、“红外高清网络球机 400万”、“安防综合管理平台”、“视频管理系统软件”等作为本项目的重要建设内容，是保证本项目建设质量的重要指标之一；评分标准与提供的产品质量相关。制造商获得相关奖项，不但反映其研发能力，也与其制造水平及能力相关，因而与投标人提供的产品质量直接相关。该评分标准要求相关设备制造商并没有特指投标人具有，没有排他性和指向性，投标人可选择符合要求的产品参与投标，评分因素与采购需求相适应，是将投标人的所投产品优势作为评分项，属于择优选择投标产品，并非以不合理条件限制、排斥潜在投标人或者投标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24口千兆交换机”设备制造商需具有信息系统建设和服务能力，与产品质量及售后服务能力相关，评分因素与采购需求相适应，是将投标人的所投产品优势作为评分项，属于择优选择投标产品，并非以不合理条件限制、排斥潜在投标人或者投标人，投标人可选择符合要求的产品参与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供应链安全管理体系”认证的、“QC080000电气与电子元件和产品有害物质过程控制管理体系”认证、“GB/T29490企业知识产权管理体系”认证均与合同履行相关，同时符合国家节能环保、保护知识产权相关政策，评分因素与采购需求相适应，是将投标人的所投产品优势作为评分项，属于择优选择投标产品，并非以不合理条件限制、排斥潜在投标人或者投标人，投标人可选择符合要求的产品参与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4、针对</w:t>
      </w:r>
      <w:r>
        <w:rPr>
          <w:rFonts w:hint="eastAsia" w:ascii="仿宋_GB2312" w:hAnsi="仿宋_GB2312" w:eastAsia="仿宋_GB2312" w:cs="仿宋_GB2312"/>
          <w:i w:val="0"/>
          <w:iCs w:val="0"/>
          <w:caps w:val="0"/>
          <w:color w:val="000000"/>
          <w:spacing w:val="0"/>
          <w:sz w:val="32"/>
          <w:szCs w:val="32"/>
        </w:rPr>
        <w:t>投标人所投“安防综合管理平台”产品设备制造商获得过国家级“职工技术成果奖"的得1分，地市级“职工技术成果奖”的得0.5分</w:t>
      </w:r>
      <w:r>
        <w:rPr>
          <w:rFonts w:hint="eastAsia" w:ascii="仿宋_GB2312" w:hAnsi="仿宋_GB2312" w:eastAsia="仿宋_GB2312" w:cs="仿宋_GB2312"/>
          <w:i w:val="0"/>
          <w:iCs w:val="0"/>
          <w:caps w:val="0"/>
          <w:color w:val="000000"/>
          <w:spacing w:val="0"/>
          <w:sz w:val="32"/>
          <w:szCs w:val="32"/>
          <w:lang w:eastAsia="zh-CN"/>
        </w:rPr>
        <w:t>，采购代理机构已于</w:t>
      </w:r>
      <w:r>
        <w:rPr>
          <w:rFonts w:hint="eastAsia" w:ascii="仿宋_GB2312" w:hAnsi="仿宋_GB2312" w:eastAsia="仿宋_GB2312" w:cs="仿宋_GB2312"/>
          <w:i w:val="0"/>
          <w:iCs w:val="0"/>
          <w:caps w:val="0"/>
          <w:color w:val="000000"/>
          <w:spacing w:val="0"/>
          <w:sz w:val="32"/>
          <w:szCs w:val="32"/>
          <w:lang w:val="en-US" w:eastAsia="zh-CN"/>
        </w:rPr>
        <w:t>2023年6月9日对招标文件评分细则-商务部分--制造商企业实力进行了变更变删除。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5、投诉人所诉货物技术性要求高，本项目已预留40%专门面向中小企业，投标人可以根据实际选择符合要求的企业所生产的产品参与投标。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r>
        <w:rPr>
          <w:rFonts w:hint="eastAsia" w:ascii="仿宋_GB2312" w:hAnsi="仿宋_GB2312" w:eastAsia="仿宋_GB2312" w:cs="仿宋_GB2312"/>
          <w:b/>
          <w:bCs/>
          <w:i w:val="0"/>
          <w:iCs w:val="0"/>
          <w:caps w:val="0"/>
          <w:color w:val="333333"/>
          <w:spacing w:val="0"/>
          <w:sz w:val="32"/>
          <w:szCs w:val="32"/>
          <w:shd w:val="clear" w:fill="FFFFFF"/>
          <w:vertAlign w:val="baseline"/>
        </w:rPr>
        <w:t>投诉事项</w:t>
      </w: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3</w:t>
      </w:r>
      <w:r>
        <w:rPr>
          <w:rFonts w:hint="eastAsia" w:ascii="仿宋_GB2312" w:hAnsi="仿宋_GB2312" w:eastAsia="仿宋_GB2312" w:cs="仿宋_GB2312"/>
          <w:b/>
          <w:bCs/>
          <w:i w:val="0"/>
          <w:iCs w:val="0"/>
          <w:caps w:val="0"/>
          <w:color w:val="333333"/>
          <w:spacing w:val="0"/>
          <w:sz w:val="32"/>
          <w:szCs w:val="32"/>
          <w:shd w:val="clear" w:fill="FFFFFF"/>
          <w:vertAlign w:val="baseli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本项目实施内容除路灯外，还包含通信平台、软件、网络等建设，技术性复杂，项目负责人及技术负责人为统筹项目建设关键人员，技术负责人取得网络工程师资格和通信工程师（数据通信专业）资格需对信息系统项目具有专业的软件技术和维护管理能力来保证项目可靠、合理、高效、安全运行，项目技术和管理人员的项目管理能力、网络专业能力、数据通信能力、信息安全能力都和项目建设及后续运维需求实质相关,供应商团队人员具备相应的能力证书是项目实施交付和后续数据安全维护的重要能力指标之一。本项为加分项，要求投标人具有相应人员并为其缴纳社保是投标人企业实力的体现，相关证书都和本项目采购需求有实质相关性，即都是为了甄别潜在供应商是否具备采购人需要的建设、交付、运维的综合服务能力的重要指标。所有证书未指定颁发部门，不存在唯一性，是作为挑选优质供应商的加分项，而非资格性或限制性条款，符合《政府采购法》相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负责人具备证书齐全，可以说明该项目负责人履历丰富、专业资格技术能力强，能更好地履行本采购项目，符合承诺中具有设备和专业能力的要求，如不具备上述证书则不得分，也符合采购项目具体特点和实际需要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rPr>
      </w:pPr>
      <w:r>
        <w:rPr>
          <w:rFonts w:hint="eastAsia" w:ascii="楷体_GB2312" w:hAnsi="楷体_GB2312" w:eastAsia="楷体_GB2312" w:cs="楷体_GB2312"/>
          <w:b/>
          <w:bCs/>
          <w:i w:val="0"/>
          <w:iCs w:val="0"/>
          <w:caps w:val="0"/>
          <w:color w:val="333333"/>
          <w:spacing w:val="0"/>
          <w:sz w:val="32"/>
          <w:szCs w:val="32"/>
          <w:shd w:val="clear" w:fill="FFFFFF"/>
          <w:vertAlign w:val="baseline"/>
        </w:rPr>
        <w:t>投诉人</w:t>
      </w: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2</w:t>
      </w:r>
      <w:r>
        <w:rPr>
          <w:rFonts w:hint="eastAsia" w:ascii="楷体_GB2312" w:hAnsi="楷体_GB2312" w:eastAsia="楷体_GB2312" w:cs="楷体_GB2312"/>
          <w:b/>
          <w:bCs/>
          <w:i w:val="0"/>
          <w:iCs w:val="0"/>
          <w:caps w:val="0"/>
          <w:color w:val="333333"/>
          <w:spacing w:val="0"/>
          <w:sz w:val="32"/>
          <w:szCs w:val="32"/>
          <w:shd w:val="clear" w:fill="FFFFFF"/>
          <w:vertAlign w:val="baseline"/>
        </w:rPr>
        <w:t>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Style w:val="10"/>
          <w:rFonts w:hint="eastAsia" w:ascii="仿宋_GB2312" w:hAnsi="仿宋_GB2312" w:eastAsia="仿宋_GB2312" w:cs="仿宋_GB2312"/>
          <w:b w:val="0"/>
          <w:bCs/>
          <w:i w:val="0"/>
          <w:iCs w:val="0"/>
          <w:caps w:val="0"/>
          <w:color w:val="000000"/>
          <w:spacing w:val="0"/>
          <w:sz w:val="32"/>
          <w:szCs w:val="32"/>
          <w:shd w:val="clear" w:fill="FFFFFF"/>
          <w:vertAlign w:val="baseline"/>
          <w:lang w:val="en-US" w:eastAsia="zh-CN"/>
        </w:rPr>
      </w:pPr>
      <w:r>
        <w:rPr>
          <w:rStyle w:val="10"/>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投诉事项1：</w:t>
      </w:r>
      <w:r>
        <w:rPr>
          <w:rStyle w:val="10"/>
          <w:rFonts w:hint="eastAsia" w:ascii="仿宋_GB2312" w:hAnsi="仿宋_GB2312" w:eastAsia="仿宋_GB2312" w:cs="仿宋_GB2312"/>
          <w:b w:val="0"/>
          <w:bCs/>
          <w:i w:val="0"/>
          <w:iCs w:val="0"/>
          <w:caps w:val="0"/>
          <w:color w:val="000000"/>
          <w:spacing w:val="0"/>
          <w:sz w:val="32"/>
          <w:szCs w:val="32"/>
          <w:shd w:val="clear" w:fill="FFFFFF"/>
          <w:vertAlign w:val="baseline"/>
          <w:lang w:val="en-US" w:eastAsia="zh-CN"/>
        </w:rPr>
        <w:t>评分项单个分值包含多个功能，评分未细化。单灯控制器4个评分项对应1个分值，路灯智能管理控制器8个评分项对应1个分值；公共广播4个评分项对应1个分值。上述评分办法中，单个分值包含多个不同评分项，属于将多个评分点融合在一起的控标形式，评审因素量化后未与分值设置相对应。</w:t>
      </w:r>
    </w:p>
    <w:p>
      <w:pPr>
        <w:pStyle w:val="4"/>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投诉事项2:</w:t>
      </w:r>
      <w:r>
        <w:rPr>
          <w:rFonts w:hint="eastAsia" w:ascii="仿宋_GB2312" w:hAnsi="仿宋_GB2312" w:eastAsia="仿宋_GB2312" w:cs="仿宋_GB2312"/>
          <w:b w:val="0"/>
          <w:bCs w:val="0"/>
          <w:sz w:val="32"/>
          <w:szCs w:val="32"/>
          <w:lang w:val="en-US" w:eastAsia="zh-CN"/>
        </w:rPr>
        <w:t>将国家信息安全服务安全工程类、国家信息安全服务宰恢复类、信息安金应急处理服务资质、信息安金风险评估服务资质作为评分项，变相对投标商进行限制。根据中国信息安金测评中心提供的《信息系统安全服务资质评估准则（官方下载网址http://www.itsec.gov.cn/fwzz/fsqsxz/首页&gt;服务资质&gt;申请书下载），国家信息安全服务安全工程类、国家信息安全服务灾难恢复类、信息安全应急处理服务资质、信息安全风险评估服务资质均对参加评审的企业的规模与资产、业绩作出了要求(具体章节:5.5规模与资产要求  5.6业绩要求），因此变相以供应商的规模、资本作为评分标准。</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rPr>
          <w:rFonts w:hint="eastAsia" w:ascii="仿宋_GB2312" w:hAnsi="仿宋_GB2312" w:eastAsia="仿宋_GB2312" w:cs="仿宋_GB2312"/>
          <w:b/>
          <w:bCs/>
          <w:i w:val="0"/>
          <w:iCs w:val="0"/>
          <w:caps w:val="0"/>
          <w:color w:val="333333"/>
          <w:spacing w:val="0"/>
          <w:sz w:val="32"/>
          <w:szCs w:val="32"/>
          <w:shd w:val="clear" w:fill="FFFFFF"/>
          <w:vertAlign w:val="baseline"/>
        </w:rPr>
      </w:pPr>
      <w:r>
        <w:rPr>
          <w:rFonts w:hint="eastAsia" w:ascii="仿宋_GB2312" w:hAnsi="仿宋_GB2312" w:eastAsia="仿宋_GB2312" w:cs="仿宋_GB2312"/>
          <w:b/>
          <w:bCs/>
          <w:sz w:val="32"/>
          <w:szCs w:val="32"/>
        </w:rPr>
        <w:t>投诉事项3:</w:t>
      </w:r>
      <w:r>
        <w:rPr>
          <w:rFonts w:hint="eastAsia" w:ascii="仿宋_GB2312" w:hAnsi="仿宋_GB2312" w:eastAsia="仿宋_GB2312" w:cs="仿宋_GB2312"/>
          <w:b w:val="0"/>
          <w:bCs w:val="0"/>
          <w:sz w:val="32"/>
          <w:szCs w:val="32"/>
          <w:lang w:eastAsia="zh-CN"/>
        </w:rPr>
        <w:t>评审标准后含非法改变评审结果的内容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pacing w:val="0"/>
          <w:w w:val="100"/>
          <w:kern w:val="2"/>
          <w:position w:val="0"/>
          <w:sz w:val="32"/>
          <w:szCs w:val="32"/>
          <w:highlight w:val="none"/>
          <w:shd w:val="clear"/>
          <w:lang w:val="en-US" w:eastAsia="zh-CN" w:bidi="ar-SA"/>
        </w:rPr>
        <w:t>“在中标公示期内，中标人需提交相关材料原件供采购人查验，同时采购人有权要求中标人对其所投产品中涉及的软硬件提供样机或软件功能演示，以核验所投产品性能与招标文件要求相符，对于专业性较强的内容，采购人可向有资质的第三方检测机构或权威机构/部门查证真实性，如确认存在弄虚作假的情形，取消中标资格，并按照法律法规，迫究投标人相关法律责任"，根据相关法律规定，招标采购单位需要通过现场演示、测试方式来体现投标产品的某部分功能或效果的，应当在招标文件中载明演示、测试的标准和方法，并提供适当的软硬件条件，演示、测试应在评标阶段完成，除此之外，招标采购单位不得在招标文件中要求中标候选供应商在合同签订前再次进行产品演示、测试，并以演示、测试结果作为是否签订合同的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rPr>
      </w:pPr>
      <w:r>
        <w:rPr>
          <w:rFonts w:hint="eastAsia" w:ascii="楷体_GB2312" w:hAnsi="楷体_GB2312" w:eastAsia="楷体_GB2312" w:cs="楷体_GB2312"/>
          <w:b/>
          <w:bCs/>
          <w:i w:val="0"/>
          <w:iCs w:val="0"/>
          <w:caps w:val="0"/>
          <w:color w:val="333333"/>
          <w:spacing w:val="0"/>
          <w:sz w:val="32"/>
          <w:szCs w:val="32"/>
          <w:shd w:val="clear" w:fill="FFFFFF"/>
          <w:vertAlign w:val="baseline"/>
        </w:rPr>
        <w:t>被投诉人称：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val="0"/>
          <w:bCs w:val="0"/>
          <w:color w:val="auto"/>
          <w:spacing w:val="0"/>
          <w:w w:val="100"/>
          <w:kern w:val="2"/>
          <w:position w:val="0"/>
          <w:sz w:val="32"/>
          <w:szCs w:val="32"/>
          <w:highlight w:val="none"/>
          <w:shd w:val="clear"/>
          <w:lang w:val="en-US" w:eastAsia="zh-CN" w:bidi="ar-SA"/>
        </w:rPr>
      </w:pPr>
      <w:r>
        <w:rPr>
          <w:rFonts w:hint="eastAsia" w:ascii="仿宋_GB2312" w:hAnsi="仿宋_GB2312" w:eastAsia="仿宋_GB2312" w:cs="仿宋_GB2312"/>
          <w:b/>
          <w:bCs/>
          <w:i w:val="0"/>
          <w:iCs w:val="0"/>
          <w:caps w:val="0"/>
          <w:color w:val="333333"/>
          <w:spacing w:val="0"/>
          <w:sz w:val="32"/>
          <w:szCs w:val="32"/>
          <w:shd w:val="clear" w:fill="FFFFFF"/>
          <w:vertAlign w:val="baseline"/>
        </w:rPr>
        <w:t>投诉事项1：</w:t>
      </w:r>
    </w:p>
    <w:p>
      <w:pPr>
        <w:pStyle w:val="4"/>
        <w:keepNext w:val="0"/>
        <w:keepLines w:val="0"/>
        <w:pageBreakBefore w:val="0"/>
        <w:numPr>
          <w:ilvl w:val="-1"/>
          <w:numId w:val="0"/>
        </w:numPr>
        <w:shd w:val="clear" w:color="auto" w:fill="auto"/>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val="0"/>
          <w:color w:val="auto"/>
          <w:spacing w:val="0"/>
          <w:w w:val="100"/>
          <w:kern w:val="0"/>
          <w:position w:val="0"/>
          <w:sz w:val="32"/>
          <w:szCs w:val="32"/>
          <w:highlight w:val="none"/>
          <w:shd w:val="clear" w:color="auto" w:fill="auto"/>
          <w:lang w:val="en-US" w:eastAsia="zh-CN" w:bidi="en-US"/>
        </w:rPr>
      </w:pPr>
      <w:r>
        <w:rPr>
          <w:rFonts w:hint="eastAsia" w:ascii="仿宋_GB2312" w:hAnsi="仿宋_GB2312" w:eastAsia="仿宋_GB2312" w:cs="仿宋_GB2312"/>
          <w:b w:val="0"/>
          <w:bCs w:val="0"/>
          <w:color w:val="auto"/>
          <w:kern w:val="0"/>
          <w:sz w:val="32"/>
          <w:szCs w:val="32"/>
          <w:highlight w:val="none"/>
          <w:shd w:val="clear" w:color="auto" w:fill="auto"/>
          <w:lang w:val="en-US" w:eastAsia="zh-CN" w:bidi="en-US"/>
        </w:rPr>
        <w:t>1、细化即评审因素应当是具体的、细致的、具有可评判性，量化即对细化项的指标描述，单灯控制器和路灯智能管理控制器作为本项目的重要建设内容，是保证本项目建设质量的重要指标之一，本项目</w:t>
      </w:r>
      <w:r>
        <w:rPr>
          <w:rFonts w:hint="eastAsia" w:ascii="仿宋_GB2312" w:hAnsi="仿宋_GB2312" w:eastAsia="仿宋_GB2312" w:cs="仿宋_GB2312"/>
          <w:b w:val="0"/>
          <w:bCs w:val="0"/>
          <w:color w:val="auto"/>
          <w:spacing w:val="0"/>
          <w:w w:val="100"/>
          <w:kern w:val="0"/>
          <w:position w:val="0"/>
          <w:sz w:val="32"/>
          <w:szCs w:val="32"/>
          <w:highlight w:val="none"/>
          <w:shd w:val="clear" w:color="auto" w:fill="auto"/>
          <w:lang w:val="en-US" w:eastAsia="zh-CN" w:bidi="en-US"/>
        </w:rPr>
        <w:t>单灯控制器、路灯智能管理控制器、公共广播评审细则已进行细化并量化到具体数值，且与采购需求相对应。本条评审因素是采购人根据项目特点制定的加分项，与本项目的采购需求、产品质量和合同履约有直接关系；评分因素与采购需求相适应，是将投标人的企业优势作为评分项，属于择优选择投标人。符合《政府采购货物和服务招标投标管理办法》(财政部令第87号)第五十五条评审因素应当细化和量化，且与相应的商务条件和采购需求对应。</w:t>
      </w:r>
    </w:p>
    <w:p>
      <w:pPr>
        <w:pStyle w:val="4"/>
        <w:keepNext w:val="0"/>
        <w:keepLines w:val="0"/>
        <w:pageBreakBefore w:val="0"/>
        <w:numPr>
          <w:ilvl w:val="-1"/>
          <w:numId w:val="0"/>
        </w:numPr>
        <w:shd w:val="clear" w:color="auto" w:fill="auto"/>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val="0"/>
          <w:color w:val="auto"/>
          <w:spacing w:val="0"/>
          <w:w w:val="100"/>
          <w:kern w:val="0"/>
          <w:position w:val="0"/>
          <w:sz w:val="32"/>
          <w:szCs w:val="32"/>
          <w:highlight w:val="none"/>
          <w:shd w:val="clear" w:color="auto" w:fill="auto"/>
          <w:lang w:val="en-US" w:eastAsia="zh-CN" w:bidi="en-US"/>
        </w:rPr>
      </w:pPr>
      <w:r>
        <w:rPr>
          <w:rFonts w:hint="eastAsia" w:ascii="仿宋_GB2312" w:hAnsi="仿宋_GB2312" w:eastAsia="仿宋_GB2312" w:cs="仿宋_GB2312"/>
          <w:b w:val="0"/>
          <w:bCs w:val="0"/>
          <w:color w:val="auto"/>
          <w:spacing w:val="0"/>
          <w:w w:val="100"/>
          <w:kern w:val="0"/>
          <w:position w:val="0"/>
          <w:sz w:val="32"/>
          <w:szCs w:val="32"/>
          <w:highlight w:val="none"/>
          <w:shd w:val="clear" w:color="auto" w:fill="auto"/>
          <w:lang w:val="en-US" w:eastAsia="zh-CN" w:bidi="en-US"/>
        </w:rPr>
        <w:t>2、每个货物（单灯控制器、路灯智能管理控制器、公共广播）作为一个整体，同时具备评审细则中要求更加体现货物优势，缺乏一项将影响整体效果。</w:t>
      </w:r>
    </w:p>
    <w:p>
      <w:pPr>
        <w:pStyle w:val="4"/>
        <w:keepNext w:val="0"/>
        <w:keepLines w:val="0"/>
        <w:pageBreakBefore w:val="0"/>
        <w:shd w:val="clear" w:color="auto" w:fill="auto"/>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val="0"/>
          <w:color w:val="auto"/>
          <w:spacing w:val="0"/>
          <w:w w:val="100"/>
          <w:kern w:val="0"/>
          <w:position w:val="0"/>
          <w:sz w:val="32"/>
          <w:szCs w:val="32"/>
          <w:highlight w:val="none"/>
          <w:shd w:val="clear" w:color="auto" w:fill="auto"/>
          <w:lang w:val="en-US" w:eastAsia="zh-CN" w:bidi="en-US"/>
        </w:rPr>
      </w:pPr>
      <w:r>
        <w:rPr>
          <w:rFonts w:hint="eastAsia" w:ascii="仿宋_GB2312" w:hAnsi="仿宋_GB2312" w:eastAsia="仿宋_GB2312" w:cs="仿宋_GB2312"/>
          <w:b w:val="0"/>
          <w:bCs w:val="0"/>
          <w:color w:val="auto"/>
          <w:spacing w:val="0"/>
          <w:w w:val="100"/>
          <w:kern w:val="0"/>
          <w:position w:val="0"/>
          <w:sz w:val="32"/>
          <w:szCs w:val="32"/>
          <w:highlight w:val="none"/>
          <w:shd w:val="clear" w:color="auto" w:fill="auto"/>
          <w:lang w:val="en-US" w:eastAsia="zh-CN" w:bidi="en-US"/>
        </w:rPr>
        <w:t>3、投诉人认为“属于将多个评分点融合在一起的控标形式”未按94号令要求提供必要得证明材料及事实依据。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333333"/>
          <w:spacing w:val="0"/>
          <w:sz w:val="32"/>
          <w:szCs w:val="32"/>
          <w:shd w:val="clear" w:fill="FFFFFF"/>
          <w:vertAlign w:val="baseline"/>
        </w:rPr>
      </w:pPr>
      <w:r>
        <w:rPr>
          <w:rFonts w:hint="eastAsia" w:ascii="仿宋_GB2312" w:hAnsi="仿宋_GB2312" w:eastAsia="仿宋_GB2312" w:cs="仿宋_GB2312"/>
          <w:b/>
          <w:bCs/>
          <w:i w:val="0"/>
          <w:iCs w:val="0"/>
          <w:caps w:val="0"/>
          <w:color w:val="333333"/>
          <w:spacing w:val="0"/>
          <w:sz w:val="32"/>
          <w:szCs w:val="32"/>
          <w:shd w:val="clear" w:fill="FFFFFF"/>
          <w:vertAlign w:val="baseline"/>
        </w:rPr>
        <w:t>投诉事项</w:t>
      </w: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333333"/>
          <w:spacing w:val="0"/>
          <w:sz w:val="32"/>
          <w:szCs w:val="32"/>
          <w:shd w:val="clear" w:fill="FFFFFF"/>
          <w:vertAlign w:val="baseline"/>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招标文件关于信息安全的要求，是项目的实质性需求。根据《中华人民共和国网络安全法》第三章第二十二条规定：网络产品、服务的提供者应当为其产品、服务持续提供安全维护；在规定或者当事人约定的期限内，不得终止提供安全维护。经查询，国家信息安全服务安全工程类、国家信息安全服务灾难恢复类、信息安全应急处理服务资质、信息安全风险评估服务资质申请条件主要以企业技术实力为主，并未包含注册资本、资产总额、营业收入、从业人员、利润、纳税额等规模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国家级信息安全服务证书（安全工程类）、国家信息安全服务证书（灾难恢复类）、信息安全应急处理服务资质、信息安全风险评估服务资质所对应的项目信息安全的能力都和项目建设和后续运维需求实质相关。具备相应的能力证书是项目实施交付和后续数据安全维护的重要能力指标之一。是采购人根据项目特点制定的加分项，与本项目的采购需求、产品质量和合同履约有直接关系；评分因素与采购需求相适应，是将投标人的企业优势作为评分项，属于择优选择投标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333333"/>
          <w:spacing w:val="0"/>
          <w:sz w:val="32"/>
          <w:szCs w:val="32"/>
          <w:shd w:val="clear" w:fill="FFFFFF"/>
          <w:vertAlign w:val="baseline"/>
        </w:rPr>
      </w:pPr>
      <w:r>
        <w:rPr>
          <w:rFonts w:hint="eastAsia" w:ascii="仿宋_GB2312" w:hAnsi="仿宋_GB2312" w:eastAsia="仿宋_GB2312" w:cs="仿宋_GB2312"/>
          <w:b/>
          <w:bCs/>
          <w:i w:val="0"/>
          <w:iCs w:val="0"/>
          <w:caps w:val="0"/>
          <w:color w:val="333333"/>
          <w:spacing w:val="0"/>
          <w:sz w:val="32"/>
          <w:szCs w:val="32"/>
          <w:shd w:val="clear" w:fill="FFFFFF"/>
          <w:vertAlign w:val="baseline"/>
        </w:rPr>
        <w:t>投诉事项</w:t>
      </w: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3</w:t>
      </w:r>
      <w:r>
        <w:rPr>
          <w:rFonts w:hint="eastAsia" w:ascii="仿宋_GB2312" w:hAnsi="仿宋_GB2312" w:eastAsia="仿宋_GB2312" w:cs="仿宋_GB2312"/>
          <w:b/>
          <w:bCs/>
          <w:i w:val="0"/>
          <w:iCs w:val="0"/>
          <w:caps w:val="0"/>
          <w:color w:val="333333"/>
          <w:spacing w:val="0"/>
          <w:sz w:val="32"/>
          <w:szCs w:val="32"/>
          <w:shd w:val="clear" w:fill="FFFFFF"/>
          <w:vertAlign w:val="baseline"/>
        </w:rPr>
        <w:t>：</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中华人民共和国政府采购法实施条例》第四十四条：采购人或者采购代理机构不得通过对样品进行检测，对供应商进行考察等方式改变评审结果。招标文件中是要求对中标人的所投产品是否响应招标文件要求进行核查，而非对样品进行检测，是为了避免虚假应标导致项目后期无法正常实施，并未改变任何评审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五、处理依据及结果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2023年7月12日，本机关组织行业专家组对投诉涉及的内容及资料共同进行了调查核实，调查组意见如下：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根据吉安市大数据中心出具的技术审查意见，本项目属于市政务信息化项目，项目有部署环境、网络线路、信息安全运维等主要建设内容。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投诉人1投诉事项1：该投诉事项不成立。根据《政府采购法》第二十二条的规定，投标人参加政府采购活动需具独立承担民事责任能力，《公司法》第十四条也明确规定，公司可以设立分公司，分公司不具有法人资格，其民事责任由公司承担；公司可以设立子公司，子公司具有法人资格，依法独立承担民事责任。在政府采购活动中，投标人提供集团范围内的相关证明材料是否有效，是由评标委员会评审认定，因此，该要求并不违背相关法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投诉人1投诉事项2：该投诉事项不成立。本项目为非专门面向中小微企业采购项目，属于市政务信息化项目，投诉事项所涉及的产品都为本项目信息化方面的主要产品，且该评审因素也并未排斥中小微企业参与，因此，不存在违反政府采购法律规定的情形。另外，该投诉事项中的第1、第2点内容存在与招标文件事实不符的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投诉人1投诉事项3：该投诉事项不成立。政府采购法规规定投标文件必须明确，相关资质名称都是国家相关部门的统一称谓，因此，投诉评审因素过于具体既不合理也没有法律依据；投诉资质要求的资质过高也与事实不符，该要求都属于工程师（中级）级别资质，且都与提供的货物服务质量相关，也与合同履行相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投诉人2投诉事项1：该投诉事项不成立。该评审因素与采购需求相对应，要求一个评审点满足多个功能或参数并不违反政府采购法规定；单灯控制器、路灯智能管理控制器、公共广播的评审因素已经进行了细化、量化，并对应到一个具体分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投诉人2投诉事项2：该投诉事项不成立。该项目为信息化项目，根据吉安市大数据中心的技术审查报告，该项目属于市政务信息化项目。评审因素中的国家信息安全服务安全工程类、国家信息安全服务灾难恢复类、信息安全应急处理服务资质、信息安全风险评估服务资质与提供的产品服务质量相关，也与合同履行相关。经查询，国家信息安全服务安全工程类、国家信息安全服务灾难恢复类、信息安全应急处理服务资质、信息安全风险评估服务资质的申请条件是以企业的技术实力为主，并未包含注册资本、资产总额、营业收入、从业人员、利润等规模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投诉人2投诉事项3：该投诉事项不成立。招标文件的该项要求是对中标人所投产品是否满足招标文件的技术参数及功能进行核验，而非对样品进行评审，根据政府采购法规定，若投标人存在提供虚假材料谋取中标的，采购人应取消其中标资格，因此，该约定并未违反政府采购法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投诉人1投诉事项1、2、3，投诉人2投诉事项1、2、3，投诉事项缺乏事实依据，投诉事项不成立，予以驳回。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六、权利告知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投诉人如对上述处理决定不服，可在收到本决定书起60日内申请行政复议或6个月内提起行政诉讼。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000" w:firstLineChars="125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吉安市吉州区财政局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198" w:firstLineChars="1312"/>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2023年7月17日</w:t>
      </w:r>
    </w:p>
    <w:p>
      <w:pPr>
        <w:spacing w:line="360" w:lineRule="auto"/>
        <w:rPr>
          <w:rFonts w:hint="eastAsia" w:ascii="仿宋" w:hAnsi="仿宋" w:eastAsia="仿宋" w:cs="仿宋"/>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BBA7A"/>
    <w:multiLevelType w:val="singleLevel"/>
    <w:tmpl w:val="3F7BBA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58F77816"/>
    <w:rsid w:val="06397AE4"/>
    <w:rsid w:val="1EBE2FBB"/>
    <w:rsid w:val="23D0488B"/>
    <w:rsid w:val="29914FD0"/>
    <w:rsid w:val="29B36963"/>
    <w:rsid w:val="2BE42318"/>
    <w:rsid w:val="4A7D539C"/>
    <w:rsid w:val="4B1B7A24"/>
    <w:rsid w:val="58F77816"/>
    <w:rsid w:val="6C27284C"/>
    <w:rsid w:val="6C2D6801"/>
    <w:rsid w:val="6C7D0901"/>
    <w:rsid w:val="7E33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rFonts w:ascii="宋体"/>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5792</Words>
  <Characters>5933</Characters>
  <Lines>0</Lines>
  <Paragraphs>0</Paragraphs>
  <TotalTime>0</TotalTime>
  <ScaleCrop>false</ScaleCrop>
  <LinksUpToDate>false</LinksUpToDate>
  <CharactersWithSpaces>5936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2023-07-12T06:20:00Z</dcterms:created>
  <dc:creator>z 小槑</dc:creator>
  <cp:lastModifiedBy>欧阳君慧</cp:lastModifiedBy>
  <dcterms:modified xsi:type="dcterms:W3CDTF">2023-07-17T02:56:45Z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3F1DE076941449F4BB6D5D00F78B3D6F_13</vt:lpwstr>
  </property>
</Properties>
</file>