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C0CEC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50" w:beforeAutospacing="0" w:after="0" w:afterAutospacing="0" w:line="630" w:lineRule="atLeast"/>
        <w:ind w:left="0" w:right="0" w:firstLine="0"/>
        <w:jc w:val="center"/>
        <w:rPr>
          <w:rFonts w:hint="eastAsia" w:ascii="方正小标宋简体" w:hAnsi="方正小标宋简体" w:eastAsia="方正小标宋简体" w:cs="方正小标宋简体"/>
          <w:b w:val="0"/>
          <w:bCs w:val="0"/>
          <w:i w:val="0"/>
          <w:iCs w:val="0"/>
          <w:caps w:val="0"/>
          <w:color w:val="000000"/>
          <w:spacing w:val="0"/>
          <w:sz w:val="44"/>
          <w:szCs w:val="44"/>
        </w:rPr>
      </w:pPr>
      <w:r>
        <w:rPr>
          <w:rFonts w:hint="eastAsia" w:ascii="方正小标宋简体" w:hAnsi="方正小标宋简体" w:eastAsia="方正小标宋简体" w:cs="方正小标宋简体"/>
          <w:b w:val="0"/>
          <w:bCs w:val="0"/>
          <w:i w:val="0"/>
          <w:iCs w:val="0"/>
          <w:caps w:val="0"/>
          <w:color w:val="000000"/>
          <w:spacing w:val="0"/>
          <w:sz w:val="44"/>
          <w:szCs w:val="44"/>
          <w:shd w:val="clear" w:fill="FFFFFF"/>
          <w:lang w:val="en-US" w:eastAsia="zh-CN"/>
        </w:rPr>
        <w:t>监督检查</w:t>
      </w:r>
      <w:r>
        <w:rPr>
          <w:rFonts w:hint="eastAsia" w:ascii="方正小标宋简体" w:hAnsi="方正小标宋简体" w:eastAsia="方正小标宋简体" w:cs="方正小标宋简体"/>
          <w:b w:val="0"/>
          <w:bCs w:val="0"/>
          <w:i w:val="0"/>
          <w:iCs w:val="0"/>
          <w:caps w:val="0"/>
          <w:color w:val="000000"/>
          <w:spacing w:val="0"/>
          <w:sz w:val="44"/>
          <w:szCs w:val="44"/>
          <w:shd w:val="clear" w:fill="FFFFFF"/>
        </w:rPr>
        <w:t>结果公告</w:t>
      </w:r>
    </w:p>
    <w:p w14:paraId="64A8F2E4">
      <w:pPr>
        <w:keepNext w:val="0"/>
        <w:keepLines/>
        <w:pageBreakBefore w:val="0"/>
        <w:widowControl w:val="0"/>
        <w:kinsoku/>
        <w:wordWrap/>
        <w:overflowPunct/>
        <w:topLinePunct w:val="0"/>
        <w:autoSpaceDE/>
        <w:autoSpaceDN/>
        <w:bidi w:val="0"/>
        <w:adjustRightInd/>
        <w:snapToGrid/>
        <w:spacing w:beforeAutospacing="0" w:afterAutospacing="0" w:line="600" w:lineRule="exact"/>
        <w:ind w:left="638" w:leftChars="304" w:firstLine="0" w:firstLineChars="0"/>
        <w:textAlignment w:val="auto"/>
        <w:outlineLvl w:val="1"/>
        <w:rPr>
          <w:rFonts w:hint="default" w:ascii="仿宋_GB2312" w:hAnsi="仿宋_GB2312" w:eastAsia="仿宋_GB2312" w:cs="仿宋_GB2312"/>
          <w:sz w:val="32"/>
          <w:szCs w:val="32"/>
          <w:lang w:val="en-US" w:eastAsia="zh-CN"/>
        </w:rPr>
      </w:pPr>
      <w:r>
        <w:rPr>
          <w:rFonts w:hint="eastAsia" w:ascii="黑体" w:hAnsi="黑体" w:eastAsia="黑体" w:cs="黑体"/>
          <w:b/>
          <w:bCs/>
          <w:i w:val="0"/>
          <w:iCs w:val="0"/>
          <w:caps w:val="0"/>
          <w:color w:val="333333"/>
          <w:spacing w:val="0"/>
          <w:kern w:val="0"/>
          <w:sz w:val="32"/>
          <w:szCs w:val="32"/>
          <w:shd w:val="clear" w:fill="FFFFFF"/>
          <w:lang w:val="en-US" w:eastAsia="zh-CN" w:bidi="ar"/>
        </w:rPr>
        <w:t>一、项目编号</w:t>
      </w:r>
      <w:r>
        <w:rPr>
          <w:rFonts w:hint="eastAsia" w:ascii="黑体" w:hAnsi="黑体" w:eastAsia="黑体" w:cs="黑体"/>
          <w:i w:val="0"/>
          <w:iCs w:val="0"/>
          <w:caps w:val="0"/>
          <w:color w:val="333333"/>
          <w:spacing w:val="0"/>
          <w:kern w:val="0"/>
          <w:sz w:val="32"/>
          <w:szCs w:val="32"/>
          <w:shd w:val="clear" w:fill="FFFFFF"/>
          <w:lang w:val="en-US" w:eastAsia="zh-CN" w:bidi="ar"/>
        </w:rPr>
        <w:br w:type="textWrapping"/>
      </w:r>
      <w:r>
        <w:rPr>
          <w:rFonts w:hint="eastAsia" w:ascii="仿宋_GB2312" w:hAnsi="仿宋_GB2312" w:eastAsia="仿宋_GB2312" w:cs="仿宋_GB2312"/>
          <w:sz w:val="32"/>
          <w:szCs w:val="32"/>
          <w:lang w:val="en-US" w:eastAsia="zh-CN"/>
        </w:rPr>
        <w:t>YH2024-45-1</w:t>
      </w:r>
    </w:p>
    <w:p w14:paraId="5CB9409D">
      <w:pPr>
        <w:keepNext w:val="0"/>
        <w:keepLines/>
        <w:pageBreakBefore w:val="0"/>
        <w:widowControl w:val="0"/>
        <w:kinsoku/>
        <w:wordWrap/>
        <w:overflowPunct/>
        <w:topLinePunct w:val="0"/>
        <w:autoSpaceDE/>
        <w:autoSpaceDN/>
        <w:bidi w:val="0"/>
        <w:adjustRightInd/>
        <w:snapToGrid/>
        <w:spacing w:line="560" w:lineRule="exact"/>
        <w:ind w:left="638" w:leftChars="304" w:firstLine="0" w:firstLineChars="0"/>
        <w:jc w:val="both"/>
        <w:textAlignment w:val="auto"/>
        <w:rPr>
          <w:rFonts w:hint="eastAsia" w:ascii="仿宋_GB2312" w:hAnsi="仿宋_GB2312" w:eastAsia="仿宋_GB2312" w:cs="仿宋_GB2312"/>
          <w:b w:val="0"/>
          <w:bCs w:val="0"/>
          <w:sz w:val="32"/>
          <w:szCs w:val="32"/>
          <w:lang w:val="en-US" w:eastAsia="zh-CN"/>
        </w:rPr>
      </w:pPr>
      <w:r>
        <w:rPr>
          <w:rFonts w:hint="eastAsia" w:ascii="黑体" w:hAnsi="黑体" w:eastAsia="黑体" w:cs="黑体"/>
          <w:b/>
          <w:bCs/>
          <w:i w:val="0"/>
          <w:iCs w:val="0"/>
          <w:caps w:val="0"/>
          <w:color w:val="333333"/>
          <w:spacing w:val="0"/>
          <w:kern w:val="0"/>
          <w:sz w:val="32"/>
          <w:szCs w:val="32"/>
          <w:shd w:val="clear" w:fill="FFFFFF"/>
          <w:lang w:val="en-US" w:eastAsia="zh-CN" w:bidi="ar"/>
        </w:rPr>
        <w:t>二、项目名称</w:t>
      </w:r>
      <w:r>
        <w:rPr>
          <w:rFonts w:hint="eastAsia" w:ascii="黑体" w:hAnsi="黑体" w:eastAsia="黑体" w:cs="黑体"/>
          <w:i w:val="0"/>
          <w:iCs w:val="0"/>
          <w:caps w:val="0"/>
          <w:color w:val="333333"/>
          <w:spacing w:val="0"/>
          <w:kern w:val="0"/>
          <w:sz w:val="32"/>
          <w:szCs w:val="32"/>
          <w:shd w:val="clear" w:fill="FFFFFF"/>
          <w:lang w:val="en-US" w:eastAsia="zh-CN" w:bidi="ar"/>
        </w:rPr>
        <w:br w:type="textWrapping"/>
      </w:r>
      <w:r>
        <w:rPr>
          <w:rFonts w:hint="eastAsia" w:ascii="仿宋_GB2312" w:hAnsi="仿宋_GB2312" w:eastAsia="仿宋_GB2312" w:cs="仿宋_GB2312"/>
          <w:sz w:val="32"/>
          <w:szCs w:val="32"/>
          <w:lang w:val="en-US" w:eastAsia="zh-CN"/>
        </w:rPr>
        <w:t>宜黄县第二中学新校区智慧校园建设项目（第二次）</w:t>
      </w:r>
      <w:r>
        <w:rPr>
          <w:rFonts w:hint="eastAsia" w:ascii="楷体_GB2312" w:hAnsi="楷体_GB2312" w:eastAsia="楷体_GB2312" w:cs="楷体_GB2312"/>
          <w:i w:val="0"/>
          <w:iCs w:val="0"/>
          <w:caps w:val="0"/>
          <w:color w:val="333333"/>
          <w:spacing w:val="0"/>
          <w:kern w:val="0"/>
          <w:sz w:val="32"/>
          <w:szCs w:val="32"/>
          <w:shd w:val="clear" w:fill="FFFFFF"/>
          <w:lang w:val="en-US" w:eastAsia="zh-CN" w:bidi="ar"/>
        </w:rPr>
        <w:br w:type="textWrapping"/>
      </w:r>
      <w:r>
        <w:rPr>
          <w:rFonts w:hint="eastAsia" w:ascii="黑体" w:hAnsi="黑体" w:eastAsia="黑体" w:cs="黑体"/>
          <w:b/>
          <w:bCs/>
          <w:i w:val="0"/>
          <w:iCs w:val="0"/>
          <w:caps w:val="0"/>
          <w:color w:val="333333"/>
          <w:spacing w:val="0"/>
          <w:kern w:val="0"/>
          <w:sz w:val="32"/>
          <w:szCs w:val="32"/>
          <w:shd w:val="clear" w:fill="FFFFFF"/>
          <w:lang w:val="en-US" w:eastAsia="zh-CN" w:bidi="ar"/>
        </w:rPr>
        <w:t>三、相关当事人</w:t>
      </w:r>
    </w:p>
    <w:p w14:paraId="1446F8C5">
      <w:pPr>
        <w:keepNext w:val="0"/>
        <w:keepLines w:val="0"/>
        <w:pageBreakBefore w:val="0"/>
        <w:widowControl w:val="0"/>
        <w:kinsoku/>
        <w:wordWrap/>
        <w:overflowPunct/>
        <w:topLinePunct w:val="0"/>
        <w:autoSpaceDE/>
        <w:autoSpaceDN/>
        <w:bidi w:val="0"/>
        <w:adjustRightInd/>
        <w:snapToGrid/>
        <w:spacing w:before="0" w:after="0" w:line="520" w:lineRule="exact"/>
        <w:ind w:firstLine="640" w:firstLineChars="200"/>
        <w:textAlignment w:val="auto"/>
        <w:rPr>
          <w:rFonts w:hint="default" w:ascii="仿宋_GB2312" w:hAnsi="仿宋_GB2312" w:eastAsia="黑体" w:cs="仿宋_GB2312"/>
          <w:bCs/>
          <w:color w:val="333333"/>
          <w:sz w:val="32"/>
          <w:szCs w:val="32"/>
          <w:lang w:val="en-US" w:eastAsia="zh-CN"/>
        </w:rPr>
      </w:pPr>
      <w:r>
        <w:rPr>
          <w:rFonts w:hint="eastAsia" w:ascii="黑体" w:hAnsi="黑体" w:eastAsia="黑体" w:cs="黑体"/>
          <w:bCs/>
          <w:color w:val="333333"/>
          <w:sz w:val="32"/>
          <w:szCs w:val="32"/>
          <w:lang w:val="en-US" w:eastAsia="zh-CN"/>
        </w:rPr>
        <w:t xml:space="preserve">采 购 </w:t>
      </w:r>
      <w:r>
        <w:rPr>
          <w:rFonts w:hint="eastAsia" w:ascii="黑体" w:hAnsi="黑体" w:eastAsia="黑体" w:cs="黑体"/>
          <w:bCs/>
          <w:color w:val="333333"/>
          <w:sz w:val="32"/>
          <w:szCs w:val="32"/>
        </w:rPr>
        <w:t>人：</w:t>
      </w:r>
      <w:r>
        <w:rPr>
          <w:rFonts w:hint="eastAsia" w:ascii="仿宋_GB2312" w:hAnsi="仿宋_GB2312" w:eastAsia="仿宋_GB2312" w:cs="仿宋_GB2312"/>
          <w:bCs/>
          <w:color w:val="333333"/>
          <w:sz w:val="32"/>
          <w:szCs w:val="32"/>
          <w:lang w:val="en-US" w:eastAsia="zh-CN"/>
        </w:rPr>
        <w:t>江西省宜黄县第二中学</w:t>
      </w:r>
    </w:p>
    <w:p w14:paraId="7ED9116E">
      <w:pPr>
        <w:keepNext w:val="0"/>
        <w:keepLines w:val="0"/>
        <w:pageBreakBefore w:val="0"/>
        <w:widowControl w:val="0"/>
        <w:kinsoku/>
        <w:wordWrap/>
        <w:overflowPunct/>
        <w:topLinePunct w:val="0"/>
        <w:autoSpaceDE/>
        <w:autoSpaceDN/>
        <w:bidi w:val="0"/>
        <w:adjustRightInd/>
        <w:snapToGrid/>
        <w:spacing w:before="0" w:after="0" w:line="520" w:lineRule="exact"/>
        <w:ind w:firstLine="640" w:firstLineChars="200"/>
        <w:textAlignment w:val="auto"/>
        <w:rPr>
          <w:rFonts w:hint="eastAsia" w:ascii="仿宋_GB2312" w:hAnsi="仿宋_GB2312" w:eastAsia="仿宋_GB2312" w:cs="仿宋_GB2312"/>
          <w:bCs/>
          <w:color w:val="333333"/>
          <w:sz w:val="32"/>
          <w:szCs w:val="32"/>
          <w:lang w:val="en-US" w:eastAsia="zh-CN"/>
        </w:rPr>
      </w:pPr>
      <w:r>
        <w:rPr>
          <w:rFonts w:hint="eastAsia" w:ascii="黑体" w:hAnsi="黑体" w:eastAsia="黑体" w:cs="黑体"/>
          <w:bCs/>
          <w:color w:val="333333"/>
          <w:sz w:val="32"/>
          <w:szCs w:val="32"/>
        </w:rPr>
        <w:t>地</w:t>
      </w:r>
      <w:r>
        <w:rPr>
          <w:rFonts w:hint="eastAsia" w:ascii="黑体" w:hAnsi="黑体" w:eastAsia="黑体" w:cs="黑体"/>
          <w:bCs/>
          <w:color w:val="333333"/>
          <w:sz w:val="32"/>
          <w:szCs w:val="32"/>
          <w:lang w:val="en-US" w:eastAsia="zh-CN"/>
        </w:rPr>
        <w:t xml:space="preserve">    </w:t>
      </w:r>
      <w:r>
        <w:rPr>
          <w:rFonts w:hint="eastAsia" w:ascii="黑体" w:hAnsi="黑体" w:eastAsia="黑体" w:cs="黑体"/>
          <w:bCs/>
          <w:color w:val="333333"/>
          <w:sz w:val="32"/>
          <w:szCs w:val="32"/>
        </w:rPr>
        <w:t>址：</w:t>
      </w:r>
      <w:r>
        <w:rPr>
          <w:rFonts w:hint="eastAsia" w:ascii="仿宋_GB2312" w:hAnsi="仿宋_GB2312" w:eastAsia="仿宋_GB2312" w:cs="仿宋_GB2312"/>
          <w:bCs/>
          <w:color w:val="333333"/>
          <w:sz w:val="32"/>
          <w:szCs w:val="32"/>
          <w:lang w:val="en-US" w:eastAsia="zh-CN"/>
        </w:rPr>
        <w:t>江西省</w:t>
      </w:r>
      <w:r>
        <w:rPr>
          <w:rFonts w:hint="eastAsia" w:ascii="仿宋_GB2312" w:hAnsi="仿宋_GB2312" w:eastAsia="仿宋_GB2312" w:cs="仿宋_GB2312"/>
          <w:bCs/>
          <w:color w:val="333333"/>
          <w:sz w:val="32"/>
          <w:szCs w:val="32"/>
        </w:rPr>
        <w:t>抚州市</w:t>
      </w:r>
      <w:r>
        <w:rPr>
          <w:rFonts w:hint="eastAsia" w:ascii="仿宋_GB2312" w:hAnsi="仿宋_GB2312" w:eastAsia="仿宋_GB2312" w:cs="仿宋_GB2312"/>
          <w:bCs/>
          <w:color w:val="333333"/>
          <w:sz w:val="32"/>
          <w:szCs w:val="32"/>
          <w:lang w:val="en-US" w:eastAsia="zh-CN"/>
        </w:rPr>
        <w:t>宜黄县城北新区</w:t>
      </w:r>
    </w:p>
    <w:p w14:paraId="659180F1">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color w:val="333333"/>
          <w:sz w:val="32"/>
          <w:szCs w:val="32"/>
          <w:lang w:val="en-US" w:eastAsia="zh-CN"/>
        </w:rPr>
      </w:pPr>
      <w:r>
        <w:rPr>
          <w:rFonts w:hint="eastAsia" w:ascii="黑体" w:hAnsi="黑体" w:eastAsia="黑体" w:cs="黑体"/>
          <w:b w:val="0"/>
          <w:bCs/>
          <w:color w:val="333333"/>
          <w:sz w:val="32"/>
          <w:szCs w:val="32"/>
          <w:lang w:val="en-US" w:eastAsia="zh-CN"/>
        </w:rPr>
        <w:t>代理机构：</w:t>
      </w:r>
      <w:r>
        <w:rPr>
          <w:rFonts w:hint="eastAsia" w:ascii="仿宋_GB2312" w:hAnsi="仿宋_GB2312" w:eastAsia="仿宋_GB2312" w:cs="仿宋_GB2312"/>
          <w:b w:val="0"/>
          <w:bCs/>
          <w:color w:val="333333"/>
          <w:sz w:val="32"/>
          <w:szCs w:val="32"/>
          <w:lang w:val="en-US" w:eastAsia="zh-CN"/>
        </w:rPr>
        <w:t>抚州今宏工程咨询有限公司</w:t>
      </w:r>
    </w:p>
    <w:p w14:paraId="0156F851">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color w:val="333333"/>
          <w:sz w:val="32"/>
          <w:szCs w:val="32"/>
          <w:lang w:val="en-US" w:eastAsia="zh-CN"/>
        </w:rPr>
      </w:pPr>
      <w:r>
        <w:rPr>
          <w:rFonts w:hint="eastAsia" w:ascii="黑体" w:hAnsi="黑体" w:eastAsia="黑体" w:cs="黑体"/>
          <w:b w:val="0"/>
          <w:bCs/>
          <w:color w:val="333333"/>
          <w:sz w:val="32"/>
          <w:szCs w:val="32"/>
          <w:lang w:val="en-US" w:eastAsia="zh-CN"/>
        </w:rPr>
        <w:t>地    址：</w:t>
      </w:r>
      <w:r>
        <w:rPr>
          <w:rFonts w:hint="eastAsia" w:ascii="仿宋_GB2312" w:hAnsi="仿宋_GB2312" w:eastAsia="仿宋_GB2312" w:cs="仿宋_GB2312"/>
          <w:b w:val="0"/>
          <w:bCs/>
          <w:color w:val="333333"/>
          <w:sz w:val="32"/>
          <w:szCs w:val="32"/>
          <w:lang w:val="en-US" w:eastAsia="zh-CN"/>
        </w:rPr>
        <w:t>江西省抚州市宜黄县望江薹</w:t>
      </w:r>
    </w:p>
    <w:p w14:paraId="5EC9E863">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color w:val="333333"/>
          <w:sz w:val="32"/>
          <w:szCs w:val="32"/>
          <w:lang w:val="en-US" w:eastAsia="zh-CN"/>
        </w:rPr>
      </w:pPr>
      <w:r>
        <w:rPr>
          <w:rFonts w:hint="eastAsia" w:ascii="黑体" w:hAnsi="黑体" w:eastAsia="黑体" w:cs="黑体"/>
          <w:b w:val="0"/>
          <w:bCs/>
          <w:color w:val="333333"/>
          <w:sz w:val="32"/>
          <w:szCs w:val="32"/>
          <w:lang w:val="en-US" w:eastAsia="zh-CN"/>
        </w:rPr>
        <w:t>中标供应商：</w:t>
      </w:r>
      <w:r>
        <w:rPr>
          <w:rFonts w:hint="eastAsia" w:ascii="仿宋_GB2312" w:hAnsi="仿宋_GB2312" w:eastAsia="仿宋_GB2312" w:cs="仿宋_GB2312"/>
          <w:b w:val="0"/>
          <w:bCs/>
          <w:color w:val="333333"/>
          <w:sz w:val="32"/>
          <w:szCs w:val="32"/>
          <w:lang w:val="en-US" w:eastAsia="zh-CN"/>
        </w:rPr>
        <w:t>江西省通信产业服务有限公司</w:t>
      </w:r>
    </w:p>
    <w:p w14:paraId="76D112E5">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color w:val="333333"/>
          <w:sz w:val="32"/>
          <w:szCs w:val="32"/>
          <w:lang w:val="en-US" w:eastAsia="zh-CN"/>
        </w:rPr>
      </w:pPr>
      <w:r>
        <w:rPr>
          <w:rFonts w:hint="eastAsia" w:ascii="黑体" w:hAnsi="黑体" w:eastAsia="黑体" w:cs="黑体"/>
          <w:b w:val="0"/>
          <w:bCs/>
          <w:color w:val="333333"/>
          <w:sz w:val="32"/>
          <w:szCs w:val="32"/>
          <w:lang w:val="en-US" w:eastAsia="zh-CN"/>
        </w:rPr>
        <w:t>地    址：</w:t>
      </w:r>
      <w:r>
        <w:rPr>
          <w:rFonts w:hint="eastAsia" w:ascii="仿宋_GB2312" w:hAnsi="仿宋_GB2312" w:eastAsia="仿宋_GB2312" w:cs="仿宋_GB2312"/>
          <w:b w:val="0"/>
          <w:bCs/>
          <w:color w:val="333333"/>
          <w:sz w:val="32"/>
          <w:szCs w:val="32"/>
          <w:lang w:val="en-US" w:eastAsia="zh-CN"/>
        </w:rPr>
        <w:t>江西省南昌市西湖区桃苑大街2号</w:t>
      </w:r>
    </w:p>
    <w:p w14:paraId="39CEC44B">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left"/>
        <w:textAlignment w:val="auto"/>
        <w:rPr>
          <w:rFonts w:hint="eastAsia" w:ascii="黑体" w:hAnsi="黑体" w:eastAsia="黑体" w:cs="黑体"/>
          <w:b/>
          <w:bCs/>
          <w:i w:val="0"/>
          <w:iCs w:val="0"/>
          <w:caps w:val="0"/>
          <w:color w:val="333333"/>
          <w:spacing w:val="0"/>
          <w:kern w:val="0"/>
          <w:sz w:val="32"/>
          <w:szCs w:val="32"/>
          <w:shd w:val="clear" w:fill="FFFFFF"/>
          <w:lang w:val="en-US" w:eastAsia="zh-CN" w:bidi="ar"/>
        </w:rPr>
      </w:pPr>
      <w:r>
        <w:rPr>
          <w:rFonts w:hint="eastAsia" w:ascii="黑体" w:hAnsi="黑体" w:eastAsia="黑体" w:cs="黑体"/>
          <w:b/>
          <w:bCs/>
          <w:i w:val="0"/>
          <w:iCs w:val="0"/>
          <w:caps w:val="0"/>
          <w:color w:val="333333"/>
          <w:spacing w:val="0"/>
          <w:kern w:val="0"/>
          <w:sz w:val="32"/>
          <w:szCs w:val="32"/>
          <w:shd w:val="clear" w:fill="FFFFFF"/>
          <w:lang w:val="en-US" w:eastAsia="zh-CN" w:bidi="ar"/>
        </w:rPr>
        <w:t>四、基本情况</w:t>
      </w:r>
    </w:p>
    <w:p w14:paraId="4DED252B">
      <w:pPr>
        <w:keepNext w:val="0"/>
        <w:keepLines/>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本机关收到宜黄县第二中学新校区智慧校园建设项目（第二次）（项目编号：YH2024-45-1）的举报，反映中标供应商</w:t>
      </w:r>
      <w:r>
        <w:rPr>
          <w:rFonts w:hint="eastAsia" w:ascii="仿宋_GB2312" w:hAnsi="仿宋_GB2312" w:eastAsia="仿宋_GB2312" w:cs="仿宋_GB2312"/>
          <w:b w:val="0"/>
          <w:bCs/>
          <w:color w:val="333333"/>
          <w:sz w:val="32"/>
          <w:szCs w:val="32"/>
          <w:lang w:val="en-US" w:eastAsia="zh-CN"/>
        </w:rPr>
        <w:t>江西省通信产业服务有限公司投标文件中“安防工作站”中参数23.8寸显示器违反强制节能产品采购相关法规和配电辅材产品“电池连接线缆、市电输入线、UPS输入输出线、到机柜PDU输入线缆、精密空调输入线”未能体现产品符合国家对工业产品许可证和管理相关法规。</w:t>
      </w:r>
      <w:r>
        <w:rPr>
          <w:rFonts w:hint="eastAsia" w:ascii="仿宋_GB2312" w:hAnsi="仿宋_GB2312" w:eastAsia="仿宋_GB2312" w:cs="仿宋_GB2312"/>
          <w:sz w:val="32"/>
          <w:szCs w:val="32"/>
          <w:lang w:val="en-US" w:eastAsia="zh-CN"/>
        </w:rPr>
        <w:t>我局依法启动监督检查程序。</w:t>
      </w:r>
    </w:p>
    <w:p w14:paraId="53FC6C79">
      <w:pPr>
        <w:pStyle w:val="3"/>
        <w:keepNext w:val="0"/>
        <w:keepLines w:val="0"/>
        <w:pageBreakBefore w:val="0"/>
        <w:widowControl w:val="0"/>
        <w:kinsoku/>
        <w:wordWrap w:val="0"/>
        <w:overflowPunct w:val="0"/>
        <w:topLinePunct w:val="0"/>
        <w:autoSpaceDE/>
        <w:autoSpaceDN/>
        <w:bidi w:val="0"/>
        <w:adjustRightInd/>
        <w:snapToGrid/>
        <w:spacing w:line="579" w:lineRule="exact"/>
        <w:ind w:left="0" w:right="0" w:firstLine="643" w:firstLineChars="200"/>
        <w:jc w:val="both"/>
        <w:textAlignment w:val="auto"/>
        <w:rPr>
          <w:rFonts w:hint="eastAsia" w:ascii="仿宋_GB2312" w:hAnsi="仿宋_GB2312" w:eastAsia="仿宋_GB2312" w:cs="仿宋_GB2312"/>
          <w:sz w:val="32"/>
          <w:szCs w:val="32"/>
          <w:lang w:val="en-US" w:eastAsia="zh-CN"/>
        </w:rPr>
      </w:pPr>
      <w:r>
        <w:rPr>
          <w:rFonts w:hint="eastAsia" w:ascii="黑体" w:hAnsi="黑体" w:eastAsia="黑体" w:cs="黑体"/>
          <w:b/>
          <w:bCs/>
          <w:i w:val="0"/>
          <w:iCs w:val="0"/>
          <w:caps w:val="0"/>
          <w:color w:val="333333"/>
          <w:spacing w:val="0"/>
          <w:kern w:val="0"/>
          <w:sz w:val="32"/>
          <w:szCs w:val="32"/>
          <w:shd w:val="clear" w:fill="FFFFFF"/>
          <w:lang w:val="en-US" w:eastAsia="zh-CN" w:bidi="ar"/>
        </w:rPr>
        <w:t>五、处理依据及结果</w:t>
      </w:r>
      <w:r>
        <w:rPr>
          <w:rFonts w:hint="eastAsia" w:ascii="微软雅黑" w:hAnsi="微软雅黑" w:eastAsia="微软雅黑" w:cs="微软雅黑"/>
          <w:i w:val="0"/>
          <w:iCs w:val="0"/>
          <w:caps w:val="0"/>
          <w:color w:val="333333"/>
          <w:spacing w:val="0"/>
          <w:kern w:val="0"/>
          <w:sz w:val="21"/>
          <w:szCs w:val="21"/>
          <w:shd w:val="clear" w:fill="FFFFFF"/>
          <w:lang w:val="en-US" w:eastAsia="zh-CN" w:bidi="ar"/>
        </w:rPr>
        <w:br w:type="textWrapping"/>
      </w:r>
      <w:r>
        <w:rPr>
          <w:rFonts w:hint="eastAsia" w:ascii="微软雅黑" w:hAnsi="微软雅黑" w:eastAsia="微软雅黑" w:cs="微软雅黑"/>
          <w:i w:val="0"/>
          <w:iCs w:val="0"/>
          <w:caps w:val="0"/>
          <w:color w:val="333333"/>
          <w:spacing w:val="0"/>
          <w:kern w:val="0"/>
          <w:sz w:val="21"/>
          <w:szCs w:val="21"/>
          <w:shd w:val="clear" w:fill="FFFFFF"/>
          <w:lang w:val="en-US" w:eastAsia="zh-CN" w:bidi="ar"/>
        </w:rPr>
        <w:t xml:space="preserve">      </w:t>
      </w:r>
      <w:r>
        <w:rPr>
          <w:rFonts w:hint="eastAsia" w:ascii="仿宋_GB2312" w:hAnsi="仿宋_GB2312" w:eastAsia="仿宋_GB2312" w:cs="仿宋_GB2312"/>
          <w:spacing w:val="8"/>
          <w:sz w:val="32"/>
          <w:szCs w:val="32"/>
          <w:lang w:val="en-US" w:eastAsia="zh-CN"/>
        </w:rPr>
        <w:t>经调查，</w:t>
      </w:r>
      <w:r>
        <w:rPr>
          <w:rFonts w:hint="eastAsia" w:ascii="仿宋_GB2312" w:hAnsi="仿宋_GB2312" w:eastAsia="仿宋_GB2312" w:cs="仿宋_GB2312"/>
          <w:sz w:val="32"/>
          <w:szCs w:val="32"/>
          <w:lang w:val="en-US" w:eastAsia="zh-CN"/>
        </w:rPr>
        <w:t>宜黄县第二中学新校区智慧校园建设项目（第二次）（项目编号：YH2024-45-1）中标供应商江西省通信产业服务有限公司递交的投标文件全面响应了项目采购需求，并提交了响应商品的检测（验）报告、认证证书等佐证材料。其中“安防工作站”中配套显示屏中标人提供的产品型号是DS-D5055UX,中国节能认证产品认证证书编号CQC23701373795。</w:t>
      </w:r>
    </w:p>
    <w:p w14:paraId="1583F7F4">
      <w:pPr>
        <w:pStyle w:val="3"/>
        <w:keepNext w:val="0"/>
        <w:keepLines w:val="0"/>
        <w:pageBreakBefore w:val="0"/>
        <w:widowControl w:val="0"/>
        <w:kinsoku/>
        <w:wordWrap w:val="0"/>
        <w:overflowPunct w:val="0"/>
        <w:topLinePunct w:val="0"/>
        <w:autoSpaceDE/>
        <w:autoSpaceDN/>
        <w:bidi w:val="0"/>
        <w:adjustRightInd/>
        <w:snapToGrid/>
        <w:spacing w:line="579"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配电辅材“电池连接线缆、市电输入线、UPS输入输出线、到机柜PDU输入线缆、精密空调输入线”中标供应商履约使用的商品是江西双帝电线电缆有限公司（全国工业产品生产许可证证书编号（赣）XK06-001-01005）及杭缆电缆科技有限公司（全国工业产品生产许可证证书编号（赣）XK06-001-23006）生产的产品。《中华人民共和国工业产品生产许可证管理条例》规定了许可证目录内产品必须取得工业产品生产许可证方可生产、销售及使用，无证据证明供应商生产、销售和使用未取得生产许可证目录内商品。</w:t>
      </w:r>
    </w:p>
    <w:p w14:paraId="601645A5">
      <w:pPr>
        <w:pStyle w:val="3"/>
        <w:keepNext w:val="0"/>
        <w:keepLines w:val="0"/>
        <w:pageBreakBefore w:val="0"/>
        <w:widowControl w:val="0"/>
        <w:kinsoku/>
        <w:wordWrap w:val="0"/>
        <w:overflowPunct w:val="0"/>
        <w:topLinePunct w:val="0"/>
        <w:autoSpaceDE/>
        <w:autoSpaceDN/>
        <w:bidi w:val="0"/>
        <w:adjustRightInd/>
        <w:snapToGrid/>
        <w:spacing w:line="579" w:lineRule="exact"/>
        <w:ind w:left="0" w:right="0"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综上所述，</w:t>
      </w:r>
      <w:r>
        <w:rPr>
          <w:rFonts w:hint="eastAsia" w:ascii="仿宋_GB2312" w:hAnsi="仿宋_GB2312" w:eastAsia="仿宋_GB2312" w:cs="仿宋_GB2312"/>
          <w:spacing w:val="8"/>
          <w:sz w:val="32"/>
          <w:szCs w:val="32"/>
          <w:lang w:val="en-US" w:eastAsia="zh-CN"/>
        </w:rPr>
        <w:t>举报人举报事项缺乏事实依据，举报不成立。</w:t>
      </w:r>
    </w:p>
    <w:p w14:paraId="28F37F43">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7" w:lineRule="exact"/>
        <w:ind w:firstLine="640" w:firstLineChars="200"/>
        <w:textAlignment w:val="auto"/>
        <w:rPr>
          <w:rFonts w:hint="default" w:ascii="仿宋_GB2312" w:hAnsi="仿宋_GB2312" w:eastAsia="仿宋_GB2312" w:cs="仿宋_GB2312"/>
          <w:bCs/>
          <w:color w:val="333333"/>
          <w:sz w:val="32"/>
          <w:szCs w:val="32"/>
          <w:lang w:val="en-US" w:eastAsia="zh-CN"/>
        </w:rPr>
      </w:pPr>
    </w:p>
    <w:p w14:paraId="7A4CE9DC">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97" w:lineRule="exact"/>
        <w:ind w:firstLine="640" w:firstLineChars="200"/>
        <w:textAlignment w:val="auto"/>
        <w:rPr>
          <w:rFonts w:hint="eastAsia" w:ascii="仿宋_GB2312" w:hAnsi="仿宋_GB2312" w:eastAsia="仿宋_GB2312" w:cs="仿宋_GB2312"/>
          <w:bCs/>
          <w:color w:val="333333"/>
          <w:sz w:val="32"/>
          <w:szCs w:val="32"/>
          <w:lang w:val="en-US" w:eastAsia="zh-CN"/>
        </w:rPr>
      </w:pPr>
    </w:p>
    <w:p w14:paraId="2BBB4DCC">
      <w:pPr>
        <w:keepNext w:val="0"/>
        <w:keepLines w:val="0"/>
        <w:pageBreakBefore w:val="0"/>
        <w:numPr>
          <w:ilvl w:val="0"/>
          <w:numId w:val="0"/>
        </w:numPr>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p>
    <w:p w14:paraId="6741344A">
      <w:pPr>
        <w:keepNext w:val="0"/>
        <w:keepLines w:val="0"/>
        <w:pageBreakBefore w:val="0"/>
        <w:numPr>
          <w:ilvl w:val="0"/>
          <w:numId w:val="0"/>
        </w:numPr>
        <w:kinsoku/>
        <w:wordWrap/>
        <w:overflowPunct/>
        <w:topLinePunct w:val="0"/>
        <w:autoSpaceDE/>
        <w:autoSpaceDN/>
        <w:bidi w:val="0"/>
        <w:adjustRightInd/>
        <w:snapToGrid/>
        <w:spacing w:line="600" w:lineRule="exact"/>
        <w:ind w:firstLine="4800" w:firstLineChars="15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宜黄县</w:t>
      </w:r>
      <w:bookmarkStart w:id="0" w:name="_GoBack"/>
      <w:bookmarkEnd w:id="0"/>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财政局</w:t>
      </w:r>
    </w:p>
    <w:p w14:paraId="6F52894F">
      <w:pPr>
        <w:keepNext w:val="0"/>
        <w:keepLines w:val="0"/>
        <w:pageBreakBefore w:val="0"/>
        <w:numPr>
          <w:ilvl w:val="0"/>
          <w:numId w:val="0"/>
        </w:numPr>
        <w:kinsoku/>
        <w:wordWrap/>
        <w:overflowPunct/>
        <w:topLinePunct w:val="0"/>
        <w:autoSpaceDE/>
        <w:autoSpaceDN/>
        <w:bidi w:val="0"/>
        <w:adjustRightInd/>
        <w:snapToGrid/>
        <w:spacing w:line="600" w:lineRule="exact"/>
        <w:ind w:firstLine="4800" w:firstLineChars="1500"/>
        <w:jc w:val="both"/>
        <w:textAlignment w:val="auto"/>
        <w:rPr>
          <w:rFonts w:hint="eastAsia" w:ascii="微软雅黑" w:hAnsi="微软雅黑" w:eastAsia="微软雅黑" w:cs="微软雅黑"/>
          <w:i w:val="0"/>
          <w:iCs w:val="0"/>
          <w:caps w:val="0"/>
          <w:color w:val="333333"/>
          <w:spacing w:val="0"/>
          <w:sz w:val="21"/>
          <w:szCs w:val="21"/>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2025年5月22日</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br w:type="textWrapping"/>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br w:type="textWrapping"/>
      </w:r>
      <w:r>
        <w:rPr>
          <w:rFonts w:hint="eastAsia" w:ascii="微软雅黑" w:hAnsi="微软雅黑" w:eastAsia="微软雅黑" w:cs="微软雅黑"/>
          <w:i w:val="0"/>
          <w:iCs w:val="0"/>
          <w:caps w:val="0"/>
          <w:color w:val="333333"/>
          <w:spacing w:val="0"/>
          <w:kern w:val="0"/>
          <w:sz w:val="21"/>
          <w:szCs w:val="21"/>
          <w:shd w:val="clear" w:fill="FFFFFF"/>
          <w:lang w:val="en-US" w:eastAsia="zh-CN" w:bidi="ar"/>
        </w:rPr>
        <w:br w:type="textWrapping"/>
      </w:r>
      <w:r>
        <w:rPr>
          <w:rFonts w:hint="eastAsia" w:ascii="微软雅黑" w:hAnsi="微软雅黑" w:eastAsia="微软雅黑" w:cs="微软雅黑"/>
          <w:i w:val="0"/>
          <w:iCs w:val="0"/>
          <w:caps w:val="0"/>
          <w:color w:val="333333"/>
          <w:spacing w:val="0"/>
          <w:kern w:val="0"/>
          <w:sz w:val="21"/>
          <w:szCs w:val="21"/>
          <w:shd w:val="clear" w:fill="FFFFFF"/>
          <w:lang w:val="en-US" w:eastAsia="zh-CN" w:bidi="ar"/>
        </w:rPr>
        <w:br w:type="textWrapping"/>
      </w:r>
    </w:p>
    <w:p w14:paraId="5F5016E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A96E30"/>
    <w:rsid w:val="0DE000EE"/>
    <w:rsid w:val="116339DB"/>
    <w:rsid w:val="177118B5"/>
    <w:rsid w:val="19FE60E3"/>
    <w:rsid w:val="20391BDD"/>
    <w:rsid w:val="203E64C6"/>
    <w:rsid w:val="3FA74032"/>
    <w:rsid w:val="4AC9704D"/>
    <w:rsid w:val="4B0F478A"/>
    <w:rsid w:val="4EFB62DB"/>
    <w:rsid w:val="556B54F2"/>
    <w:rsid w:val="58341FEB"/>
    <w:rsid w:val="60FA53D2"/>
    <w:rsid w:val="65E902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31"/>
      <w:szCs w:val="31"/>
      <w:lang w:val="en-US" w:eastAsia="en-US" w:bidi="ar-SA"/>
    </w:rPr>
  </w:style>
  <w:style w:type="paragraph" w:styleId="4">
    <w:name w:val="Plain Text"/>
    <w:basedOn w:val="1"/>
    <w:next w:val="1"/>
    <w:qFormat/>
    <w:uiPriority w:val="0"/>
    <w:rPr>
      <w:rFonts w:hAnsi="Courier New"/>
    </w:rPr>
  </w:style>
  <w:style w:type="paragraph" w:styleId="5">
    <w:name w:val="Normal (Web)"/>
    <w:basedOn w:val="1"/>
    <w:qFormat/>
    <w:uiPriority w:val="0"/>
    <w:rPr>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737</Words>
  <Characters>831</Characters>
  <Lines>0</Lines>
  <Paragraphs>0</Paragraphs>
  <TotalTime>0</TotalTime>
  <ScaleCrop>false</ScaleCrop>
  <LinksUpToDate>false</LinksUpToDate>
  <CharactersWithSpaces>851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2025-04-11T07:33:00Z</dcterms:created>
  <dc:creator>lenovo</dc:creator>
  <cp:lastModifiedBy>小缘</cp:lastModifiedBy>
  <dcterms:modified xsi:type="dcterms:W3CDTF">2025-06-11T10:05:02Z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eyJoZGlkIjoiNzZiY2FhMTYzYzBlMTYzNWRmZTdmZWMzMmY4YTY3ZDIiLCJ1c2VySWQiOiIyMzIzNDY4MTYifQ==</vt:lpwstr>
  </property>
  <property fmtid="{D5CDD505-2E9C-101B-9397-08002B2CF9AE}" pid="4" name="ICV">
    <vt:lpwstr>36F7C7D4B28D4BDE83DB079EBAA71BB2_12</vt:lpwstr>
  </property>
</Properties>
</file>