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永财购诉决[2023]14号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bookmarkStart w:id="0" w:name="_GoBack"/>
      <w:bookmarkEnd w:id="0"/>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JXSZ-【2023】C002号</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w:t>
      </w:r>
      <w:r>
        <w:rPr>
          <w:rFonts w:hint="eastAsia" w:ascii="仿宋" w:hAnsi="仿宋" w:eastAsia="仿宋"/>
          <w:sz w:val="32"/>
          <w:szCs w:val="32"/>
          <w:lang w:val="en-US" w:eastAsia="zh-CN"/>
        </w:rPr>
        <w:t>城区雨污官网及配套设施建设工程全过程咨询（综合）服务项目</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北京市市政工程设计研究总院有限公司</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北京市海淀区西直门北大街32号3号楼</w:t>
      </w:r>
    </w:p>
    <w:p>
      <w:pPr>
        <w:widowControl/>
        <w:shd w:val="clear" w:color="auto" w:fill="FFFFFF"/>
        <w:spacing w:line="560" w:lineRule="atLeast"/>
        <w:ind w:left="638" w:leftChars="304"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被投诉人1：中国市政工程华北设计研究总院有限公司/广东省建筑设计研究院有限公司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天津市河西区气象台路99号</w:t>
      </w:r>
    </w:p>
    <w:p>
      <w:pPr>
        <w:widowControl/>
        <w:shd w:val="clear" w:color="auto" w:fill="FFFFFF"/>
        <w:spacing w:line="560" w:lineRule="atLeast"/>
        <w:ind w:firstLine="420" w:firstLineChars="200"/>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 w:hAnsi="仿宋" w:eastAsia="仿宋"/>
          <w:sz w:val="32"/>
          <w:szCs w:val="32"/>
          <w:lang w:eastAsia="zh-CN"/>
        </w:rPr>
        <w:t>江西守正工程管理有限公司</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地址：吉安市吉州区尚德路与跃进路交叉路口</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建安大厦15层</w:t>
      </w:r>
    </w:p>
    <w:p>
      <w:pPr>
        <w:pStyle w:val="7"/>
        <w:ind w:firstLine="640" w:firstLineChars="200"/>
        <w:rPr>
          <w:rFonts w:hint="default" w:ascii="仿宋" w:hAnsi="仿宋" w:eastAsia="仿宋"/>
          <w:sz w:val="32"/>
          <w:szCs w:val="32"/>
          <w:lang w:val="en-US" w:eastAsia="zh-CN"/>
        </w:rPr>
      </w:pPr>
      <w:r>
        <w:rPr>
          <w:rFonts w:hint="eastAsia" w:ascii="仿宋_GB2312" w:hAnsi="仿宋_GB2312" w:eastAsia="仿宋_GB2312" w:cs="仿宋_GB2312"/>
          <w:sz w:val="32"/>
          <w:szCs w:val="32"/>
          <w:lang w:val="en-US" w:eastAsia="zh-CN"/>
        </w:rPr>
        <w:t>采购人：</w:t>
      </w:r>
      <w:r>
        <w:rPr>
          <w:rFonts w:hint="eastAsia" w:ascii="仿宋" w:hAnsi="仿宋" w:eastAsia="仿宋"/>
          <w:sz w:val="32"/>
          <w:szCs w:val="32"/>
          <w:lang w:val="en-US" w:eastAsia="zh-CN"/>
        </w:rPr>
        <w:t>永丰县城市管理局</w:t>
      </w:r>
    </w:p>
    <w:p>
      <w:pPr>
        <w:pStyle w:val="7"/>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地址：永丰县恩江镇跃进路13号</w:t>
      </w:r>
    </w:p>
    <w:p>
      <w:pPr>
        <w:pStyle w:val="7"/>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b w:val="0"/>
          <w:bCs w:val="0"/>
          <w:sz w:val="32"/>
          <w:szCs w:val="32"/>
        </w:rPr>
        <w:t>投</w:t>
      </w:r>
      <w:r>
        <w:rPr>
          <w:rFonts w:hint="eastAsia" w:ascii="仿宋_GB2312" w:hAnsi="仿宋_GB2312" w:eastAsia="仿宋_GB2312" w:cs="仿宋_GB2312"/>
          <w:sz w:val="32"/>
          <w:szCs w:val="32"/>
        </w:rPr>
        <w:t>诉人对本项目向</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采购代理机构提出质疑，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日代理机构对质疑进行了答复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val="en-US" w:eastAsia="zh-CN"/>
        </w:rPr>
        <w:t>对质疑答复不满意，</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日本机关</w:t>
      </w:r>
      <w:r>
        <w:rPr>
          <w:rFonts w:hint="eastAsia" w:ascii="仿宋_GB2312" w:hAnsi="仿宋_GB2312" w:eastAsia="仿宋_GB2312" w:cs="仿宋_GB2312"/>
          <w:sz w:val="32"/>
          <w:szCs w:val="32"/>
          <w:lang w:val="en-US" w:eastAsia="zh-CN"/>
        </w:rPr>
        <w:t>收到</w:t>
      </w:r>
      <w:r>
        <w:rPr>
          <w:rFonts w:hint="eastAsia" w:ascii="仿宋_GB2312" w:hAnsi="仿宋_GB2312" w:eastAsia="仿宋_GB2312" w:cs="仿宋_GB2312"/>
          <w:sz w:val="32"/>
          <w:szCs w:val="32"/>
          <w:lang w:eastAsia="zh-CN"/>
        </w:rPr>
        <w:t>投诉人通过</w:t>
      </w:r>
      <w:r>
        <w:rPr>
          <w:rFonts w:hint="eastAsia" w:ascii="仿宋_GB2312" w:hAnsi="仿宋_GB2312" w:eastAsia="仿宋_GB2312" w:cs="仿宋_GB2312"/>
          <w:sz w:val="32"/>
          <w:szCs w:val="32"/>
          <w:lang w:val="en-US" w:eastAsia="zh-CN"/>
        </w:rPr>
        <w:t>邮寄方式</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val="en-US" w:eastAsia="zh-CN"/>
        </w:rPr>
        <w:t>经本机关调查发现投诉人的材料不完善，10月13日向投诉人发出补正投诉材料告知函，10月15日收到投诉人补正的相关投诉材料。</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一：通过查询《中国勘察设计协会文件》中设协字【2019】136号及中设协字【2023】17号，被投诉人1建筑工程标准设计市政公用给排水类获奖，只有两个三等奖，被投诉人1在本项失分至少为4分，导致其总分不应高于96分，但其总评分为99.33分，明显高于其可能获得的最高分。</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被投诉人1答复：</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标文件中要求提供“投标人获得过国家部委或相关部门认可的优秀勘察设计奖一等奖（建筑工程标准设计市政公用工程给排水类）”。被投诉人1提供了6个获奖文件，分别为中国勘察设计协会颁发的优秀勘察设计奖一等奖（建筑工程标准设计市政公用工程给排水类）三项，天津市勘察设计协会颁发优秀勘察设计奖一等奖（建筑工程标准设计市政公用工程给排水类）三项，以上奖项经过评标专家评审认定，均符合招标文件该得分项的加分及满分的要求。</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2、以上所述的六个奖项均真实有效，具体可以在官方网站公示网址下载查询。</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关于招标文件中“国家部委或相关部门认可”的说明：“国家部委”是指住建部、水利部等国家部委；“相关部门”在这里没有特指，我司认为即指国家的有关政府部门均可。中国勘察设计协会是住建部认可的评奖机构；天津市勘察设计协会是天津市住建委认可的评奖机构。住建部属于国家部委，天津市住建委属于国家的相关部门。因此，我司认为提交的获奖证书符合加分要求。</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关于招标文件中“建筑工程标准设计市政公用工程给排水类”的说明：根据中国勘察设计协会《工程勘察、建筑设计行业和市政公用工程优秀勘察设计奖评选办法》，建筑工程标准设计属于专项奖，专项奖下无分类类别；市政公用工程设计属于综合奖，综合奖有专业类别划分，其中包括给排水类。建筑工程标准设计和市政公用工程设计属于同级别奖项设置，两者之间不存在隶属关系。天津市勘察设计协会颁发奖项具有市政公用工程设计给水排水类字样。我司认为本项目属于市政公用工程给排水类项目，评标专家对专业领域进行技术评审，认定建筑工程标准设计获奖或市政公用工程给排水类获奖均符合加分条件，符合专业技术常识，因此投标文件递交的获奖证书完全满足加分要求。</w:t>
      </w:r>
    </w:p>
    <w:p>
      <w:pPr>
        <w:widowControl/>
        <w:numPr>
          <w:ilvl w:val="0"/>
          <w:numId w:val="0"/>
        </w:num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综上，关于投诉事项1，被投诉人1提交的获奖证书真实有效，有据可查，均满足国家部委或相关部门颁发的一等奖的要求，完全符合加分的条件。</w:t>
      </w:r>
    </w:p>
    <w:p>
      <w:pPr>
        <w:widowControl/>
        <w:numPr>
          <w:ilvl w:val="0"/>
          <w:numId w:val="0"/>
        </w:num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被投诉人2答复：经核查，中国市政工程华北设计研究总院有限公司&amp;</w:t>
      </w:r>
      <w:r>
        <w:rPr>
          <w:rFonts w:hint="default" w:ascii="仿宋_GB2312" w:hAnsi="仿宋_GB2312" w:eastAsia="仿宋_GB2312" w:cs="仿宋_GB2312"/>
          <w:kern w:val="2"/>
          <w:sz w:val="32"/>
          <w:szCs w:val="32"/>
          <w:lang w:val="en-US" w:eastAsia="zh-CN" w:bidi="ar-SA"/>
        </w:rPr>
        <w:t>广东省建筑设计研究院有限公司</w:t>
      </w:r>
      <w:r>
        <w:rPr>
          <w:rFonts w:hint="eastAsia" w:ascii="仿宋_GB2312" w:hAnsi="仿宋_GB2312" w:eastAsia="仿宋_GB2312" w:cs="仿宋_GB2312"/>
          <w:kern w:val="2"/>
          <w:sz w:val="32"/>
          <w:szCs w:val="32"/>
          <w:lang w:val="en-US" w:eastAsia="zh-CN" w:bidi="ar-SA"/>
        </w:rPr>
        <w:t>投标文件中分别提供了</w:t>
      </w:r>
      <w:r>
        <w:rPr>
          <w:rFonts w:hint="default" w:ascii="仿宋_GB2312" w:hAnsi="仿宋_GB2312" w:eastAsia="仿宋_GB2312" w:cs="仿宋_GB2312"/>
          <w:kern w:val="2"/>
          <w:sz w:val="32"/>
          <w:szCs w:val="32"/>
          <w:lang w:val="en-US" w:eastAsia="zh-CN" w:bidi="ar-SA"/>
        </w:rPr>
        <w:t>广东省建筑设计研究院有限公司</w:t>
      </w:r>
      <w:r>
        <w:rPr>
          <w:rFonts w:hint="eastAsia" w:ascii="仿宋_GB2312" w:hAnsi="仿宋_GB2312" w:eastAsia="仿宋_GB2312" w:cs="仿宋_GB2312"/>
          <w:kern w:val="2"/>
          <w:sz w:val="32"/>
          <w:szCs w:val="32"/>
          <w:lang w:val="en-US" w:eastAsia="zh-CN" w:bidi="ar-SA"/>
        </w:rPr>
        <w:t>三个一等奖项和中国市政工程华北设计研究总院有限公司三个一等奖项，本项内容由评标委员会小组进行评审得分。招标代理公司通过（中国勘察设计协会https://www.chinaeda.org.cn/）官网查询关于国家部委或相关部门认可的优秀勘察设计奖一等奖(建筑工程标准设计市政公用工程给排水类)发布一等奖项目展示中未查询到相关中国市政工程华北设计研究总院有限公司&amp;</w:t>
      </w:r>
      <w:r>
        <w:rPr>
          <w:rFonts w:hint="default" w:ascii="仿宋_GB2312" w:hAnsi="仿宋_GB2312" w:eastAsia="仿宋_GB2312" w:cs="仿宋_GB2312"/>
          <w:kern w:val="2"/>
          <w:sz w:val="32"/>
          <w:szCs w:val="32"/>
          <w:lang w:val="en-US" w:eastAsia="zh-CN" w:bidi="ar-SA"/>
        </w:rPr>
        <w:t>广东省建筑设计研究院有限公司</w:t>
      </w:r>
      <w:r>
        <w:rPr>
          <w:rFonts w:hint="eastAsia" w:ascii="仿宋_GB2312" w:hAnsi="仿宋_GB2312" w:eastAsia="仿宋_GB2312" w:cs="仿宋_GB2312"/>
          <w:kern w:val="2"/>
          <w:sz w:val="32"/>
          <w:szCs w:val="32"/>
          <w:lang w:val="en-US" w:eastAsia="zh-CN" w:bidi="ar-SA"/>
        </w:rPr>
        <w:t xml:space="preserve">提供的奖项。  </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二：关于华北院申请资格的质疑，招标文件第一章第二条明确要求参加政府采购活动前三年内，在经营活动中没有重大违法记录。但被投诉人1存在不满足该资格的事实情况。2023年4月21日《行政处罚决定书文号：瓦住建罚决字2023第（01）号》违法事实：投标人相互串通投标的行为。</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被投诉人1答复：</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1中国市政工程华北设计研究总院有限公司在信用中国（辽宁大连）的记录，在本项目招标公告前，已依法依规撤销，被投诉人1在“信用中国”网站查询已无任何违规违法记录，不属于招标文件中的“信用中国”网站失信被执行人和重大税收违法案件当事人。根据招标文件对于资格审查的要求（招标文件第20页和第55页），我司在投标文件中均按要求提供了信用中国网站以及中国政府采购网的截图证明，均满足招标文件资格审查的相关要求。</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标文件第4页第一章第二条明确要求参加政府采购活动前三年内，在经营活动中没有重大违法记录。根据《中华人民共和国政府采购法实施条例》第十九条、政府采购法第二十二条第一款第五项所称重大违法记录，是指供应商因违法经营受到刑事处罚或者责令停产停业、吊销许可证或者执照、较大数额罚款等行政处罚。财政部关于《中华人民共和国政府采购法实施条例》第十九条第一款“较大数额罚款”具体适用问题的意见《中华人民共和国政府采购法实施条例》第十九条第一款规定的“较大数额罚款”认定为200万元以上的罚款，法律、行政法规以及国务院有关部门明确规定相关领域“较大数额罚款”标准高于200万元的，从其规定。本意见自2022年2月8日起施行，此前颁布的有关规定与本意见不一致的，按照本意见执行。我司没有经营受到刑事处罚、也没有责令停产停业、也没有吊销许可证或者执照、也不存在较大数额罚款等行政处罚。我司在“中国政府采购网”上截图“政府采购严重违法失信行为信息记录”均为无记录。</w:t>
      </w:r>
    </w:p>
    <w:p>
      <w:pPr>
        <w:widowControl/>
        <w:numPr>
          <w:ilvl w:val="0"/>
          <w:numId w:val="0"/>
        </w:num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综上，被投诉人1完全符合招标文件资格性审核的要求，投诉事项2不成立。</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被投诉人2答复：2023年9月9日经核查，信用中国官网站未查询到信息。招标文件第一章 第二条 参加政府采购活动前三年内，在经营活动中没有重大违法记录。按照政府采购项目“重大违法记录”的界定标准，中国市政工程华北设计研究总院有限公司是符合投标资格。</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六、处理依据及结果</w:t>
      </w:r>
    </w:p>
    <w:p>
      <w:pPr>
        <w:widowControl/>
        <w:numPr>
          <w:ilvl w:val="0"/>
          <w:numId w:val="0"/>
        </w:numPr>
        <w:shd w:val="clear" w:color="auto" w:fill="FFFFFF"/>
        <w:spacing w:line="560" w:lineRule="atLeas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一：根据中国勘察设计协会文件《关于公布2019年度工程勘察、建筑设计行业和市政公用工程优秀勘察设计奖评选结果的通知》（中设协字【2019】36号）和《关于公布2021年度工程勘察、建筑设计行业和市政公用工程优秀勘察设计奖获奖项目的通知》（中设协字【2023】17号）对优秀勘察设计奖设置的评选办法，结合协助调查专家组和原评审委员会意见：一建筑设计行业和市政公用工程优秀勘察设计奖属于同级别奖项，两者之间不存在隶属关系；二</w:t>
      </w:r>
      <w:r>
        <w:rPr>
          <w:rFonts w:hint="eastAsia" w:ascii="仿宋_GB2312" w:hAnsi="宋体" w:eastAsia="仿宋_GB2312" w:cs="宋体"/>
          <w:sz w:val="32"/>
          <w:szCs w:val="32"/>
        </w:rPr>
        <w:t>招标文件评分办法中企业荣誉“国家部委或相关部门</w:t>
      </w:r>
      <w:r>
        <w:rPr>
          <w:rFonts w:hint="eastAsia" w:ascii="仿宋_GB2312" w:hAnsi="宋体" w:eastAsia="仿宋_GB2312" w:cs="宋体"/>
          <w:sz w:val="32"/>
          <w:szCs w:val="32"/>
          <w:lang w:val="en-US" w:eastAsia="zh-CN"/>
        </w:rPr>
        <w:t>认可的...</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中“</w:t>
      </w:r>
      <w:r>
        <w:rPr>
          <w:rFonts w:hint="eastAsia" w:ascii="仿宋_GB2312" w:hAnsi="宋体" w:eastAsia="仿宋_GB2312" w:cs="宋体"/>
          <w:sz w:val="32"/>
          <w:szCs w:val="32"/>
        </w:rPr>
        <w:t>相关部门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应为行政部门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这里没有限定哪一级，可以是国家相关部门也可以是地方相关部门</w:t>
      </w:r>
      <w:r>
        <w:rPr>
          <w:rFonts w:hint="eastAsia" w:ascii="仿宋_GB2312" w:hAnsi="宋体" w:eastAsia="仿宋_GB2312" w:cs="宋体"/>
          <w:sz w:val="32"/>
          <w:szCs w:val="32"/>
          <w:lang w:eastAsia="zh-CN"/>
        </w:rPr>
        <w:t>。</w:t>
      </w:r>
      <w:r>
        <w:rPr>
          <w:rFonts w:hint="eastAsia" w:ascii="仿宋_GB2312" w:hAnsi="仿宋_GB2312" w:eastAsia="仿宋_GB2312" w:cs="仿宋_GB2312"/>
          <w:kern w:val="2"/>
          <w:sz w:val="32"/>
          <w:szCs w:val="32"/>
          <w:lang w:val="en-US" w:eastAsia="zh-CN" w:bidi="ar-SA"/>
        </w:rPr>
        <w:t>被投诉人1和投诉人在此评分项均满足加分条件。投诉事项一不成立。</w:t>
      </w:r>
    </w:p>
    <w:p>
      <w:pPr>
        <w:widowControl/>
        <w:numPr>
          <w:ilvl w:val="0"/>
          <w:numId w:val="0"/>
        </w:numPr>
        <w:shd w:val="clear" w:color="auto" w:fill="FFFFFF"/>
        <w:spacing w:line="56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投诉事项二：经查：行政处罚决定书文号（瓦住建罚决字【2023】第01号），被投诉人1 2023年4月21日因投标人串通投标被瓦房店市住房和城乡建设局罚款2.404万元。《</w:t>
      </w:r>
      <w:r>
        <w:rPr>
          <w:rFonts w:hint="eastAsia" w:ascii="仿宋_GB2312" w:hAnsi="宋体" w:eastAsia="仿宋_GB2312" w:cs="宋体"/>
          <w:sz w:val="32"/>
          <w:szCs w:val="32"/>
        </w:rPr>
        <w:t>采购法实施条例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第十九条，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根据财政部关于《中华人民共和国政府采购法实施条例》第十九条第一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较大数额罚款”具体适用问题的意见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财库【2022】3号文</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，较大数额罚款认定为200万元以上的罚款，自2022年2月8日起施行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被投诉人</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在2023年4月21日因</w:t>
      </w:r>
      <w:r>
        <w:rPr>
          <w:rFonts w:hint="eastAsia" w:ascii="仿宋_GB2312" w:hAnsi="宋体" w:eastAsia="仿宋_GB2312" w:cs="宋体"/>
          <w:sz w:val="32"/>
          <w:szCs w:val="32"/>
          <w:lang w:val="en-US" w:eastAsia="zh-CN"/>
        </w:rPr>
        <w:t>投标人相互</w:t>
      </w:r>
      <w:r>
        <w:rPr>
          <w:rFonts w:hint="eastAsia" w:ascii="仿宋_GB2312" w:hAnsi="宋体" w:eastAsia="仿宋_GB2312" w:cs="宋体"/>
          <w:sz w:val="32"/>
          <w:szCs w:val="32"/>
        </w:rPr>
        <w:t>串通投标被处以2.404万元</w:t>
      </w:r>
      <w:r>
        <w:rPr>
          <w:rFonts w:hint="eastAsia" w:ascii="仿宋_GB2312" w:hAnsi="宋体" w:eastAsia="仿宋_GB2312" w:cs="宋体"/>
          <w:sz w:val="32"/>
          <w:szCs w:val="32"/>
          <w:lang w:val="en-US" w:eastAsia="zh-CN"/>
        </w:rPr>
        <w:t>罚款</w:t>
      </w:r>
      <w:r>
        <w:rPr>
          <w:rFonts w:hint="eastAsia" w:ascii="仿宋_GB2312" w:hAnsi="宋体" w:eastAsia="仿宋_GB2312" w:cs="宋体"/>
          <w:sz w:val="32"/>
          <w:szCs w:val="32"/>
        </w:rPr>
        <w:t>的行政处罚，不属于政府采购法实施条例第十九条所称的重大违法记录行为。投诉事项二不成立。</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投诉人的投诉事项一、二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如不服本决定，可以在接到本决定书之日起60日内向永丰县人民政府申请行政复议，或者在接到本决定书之日起6个月内依法向新干县人民法院提起行政诉讼。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2023年11月1日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5EA1442"/>
    <w:rsid w:val="08D24D3B"/>
    <w:rsid w:val="09E11C73"/>
    <w:rsid w:val="0A7A6896"/>
    <w:rsid w:val="0B215AE4"/>
    <w:rsid w:val="0E76520D"/>
    <w:rsid w:val="0FBA4E97"/>
    <w:rsid w:val="0FD3043D"/>
    <w:rsid w:val="0FF04C5A"/>
    <w:rsid w:val="115912F5"/>
    <w:rsid w:val="117049F3"/>
    <w:rsid w:val="130767D9"/>
    <w:rsid w:val="13EB21F9"/>
    <w:rsid w:val="149B2994"/>
    <w:rsid w:val="16C15493"/>
    <w:rsid w:val="170257C7"/>
    <w:rsid w:val="17C50FB3"/>
    <w:rsid w:val="19FF664E"/>
    <w:rsid w:val="1D2F2AB4"/>
    <w:rsid w:val="1E1F4A47"/>
    <w:rsid w:val="1FD71884"/>
    <w:rsid w:val="1FF1600F"/>
    <w:rsid w:val="222E588B"/>
    <w:rsid w:val="22544EFC"/>
    <w:rsid w:val="225F7855"/>
    <w:rsid w:val="22C668AB"/>
    <w:rsid w:val="243674C1"/>
    <w:rsid w:val="24F8089C"/>
    <w:rsid w:val="251E59A8"/>
    <w:rsid w:val="25524EF5"/>
    <w:rsid w:val="25C25266"/>
    <w:rsid w:val="264A41F6"/>
    <w:rsid w:val="26537907"/>
    <w:rsid w:val="27764078"/>
    <w:rsid w:val="27793638"/>
    <w:rsid w:val="287606B8"/>
    <w:rsid w:val="288D1679"/>
    <w:rsid w:val="28BA4438"/>
    <w:rsid w:val="291F71B4"/>
    <w:rsid w:val="2A934DCF"/>
    <w:rsid w:val="2C2C491A"/>
    <w:rsid w:val="2E872A38"/>
    <w:rsid w:val="2EF55C95"/>
    <w:rsid w:val="2FA77745"/>
    <w:rsid w:val="32C721B4"/>
    <w:rsid w:val="35277EC4"/>
    <w:rsid w:val="357A2F85"/>
    <w:rsid w:val="376F718C"/>
    <w:rsid w:val="377F4179"/>
    <w:rsid w:val="3C2721C5"/>
    <w:rsid w:val="3C3E419D"/>
    <w:rsid w:val="3CEF05EA"/>
    <w:rsid w:val="3D2F4655"/>
    <w:rsid w:val="3DB86DD6"/>
    <w:rsid w:val="400B75FC"/>
    <w:rsid w:val="46222FA9"/>
    <w:rsid w:val="46741DBA"/>
    <w:rsid w:val="47190127"/>
    <w:rsid w:val="48A6795E"/>
    <w:rsid w:val="49C820BA"/>
    <w:rsid w:val="4AD94B37"/>
    <w:rsid w:val="4BC0129A"/>
    <w:rsid w:val="4D3A7451"/>
    <w:rsid w:val="4F53518A"/>
    <w:rsid w:val="4F7F321A"/>
    <w:rsid w:val="4FF57235"/>
    <w:rsid w:val="50777524"/>
    <w:rsid w:val="51510BE7"/>
    <w:rsid w:val="53C3090D"/>
    <w:rsid w:val="55AA20E7"/>
    <w:rsid w:val="56BB37B3"/>
    <w:rsid w:val="5A696955"/>
    <w:rsid w:val="5A762E3E"/>
    <w:rsid w:val="5B353327"/>
    <w:rsid w:val="5CB62246"/>
    <w:rsid w:val="614F7DDF"/>
    <w:rsid w:val="62320893"/>
    <w:rsid w:val="637F3391"/>
    <w:rsid w:val="63B7355E"/>
    <w:rsid w:val="642167B4"/>
    <w:rsid w:val="68374295"/>
    <w:rsid w:val="69396DCA"/>
    <w:rsid w:val="6AB040F6"/>
    <w:rsid w:val="6AD27B71"/>
    <w:rsid w:val="6BE069FA"/>
    <w:rsid w:val="6CFA6F55"/>
    <w:rsid w:val="6D086D2E"/>
    <w:rsid w:val="72A810AE"/>
    <w:rsid w:val="74795FE8"/>
    <w:rsid w:val="75295853"/>
    <w:rsid w:val="752D16D6"/>
    <w:rsid w:val="75A562CE"/>
    <w:rsid w:val="77177B54"/>
    <w:rsid w:val="782F13D2"/>
    <w:rsid w:val="78474B59"/>
    <w:rsid w:val="7CCB0AC0"/>
    <w:rsid w:val="7D5D0A75"/>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after="120"/>
    </w:pPr>
    <w:rPr>
      <w:kern w:val="0"/>
      <w:sz w:val="24"/>
      <w:szCs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w:basedOn w:val="3"/>
    <w:next w:val="1"/>
    <w:qFormat/>
    <w:uiPriority w:val="0"/>
    <w:pPr>
      <w:ind w:firstLine="420" w:firstLineChars="100"/>
    </w:pPr>
    <w:rPr>
      <w:rFonts w:ascii="Times New Roman" w:hAnsi="Times New Roman" w:eastAsia="宋体" w:cs="Times New Roman"/>
    </w:rPr>
  </w:style>
  <w:style w:type="character" w:styleId="10">
    <w:name w:val="FollowedHyperlink"/>
    <w:basedOn w:val="9"/>
    <w:semiHidden/>
    <w:unhideWhenUsed/>
    <w:qFormat/>
    <w:uiPriority w:val="99"/>
    <w:rPr>
      <w:color w:val="800080"/>
      <w:u w:val="none"/>
    </w:rPr>
  </w:style>
  <w:style w:type="character" w:styleId="11">
    <w:name w:val="Emphasis"/>
    <w:basedOn w:val="9"/>
    <w:autoRedefine/>
    <w:qFormat/>
    <w:uiPriority w:val="20"/>
  </w:style>
  <w:style w:type="character" w:styleId="12">
    <w:name w:val="Hyperlink"/>
    <w:basedOn w:val="9"/>
    <w:autoRedefine/>
    <w:semiHidden/>
    <w:unhideWhenUsed/>
    <w:qFormat/>
    <w:uiPriority w:val="99"/>
    <w:rPr>
      <w:color w:val="0000FF"/>
      <w:u w:val="none"/>
    </w:r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_37aak"/>
    <w:basedOn w:val="9"/>
    <w:autoRedefine/>
    <w:qFormat/>
    <w:uiPriority w:val="0"/>
  </w:style>
  <w:style w:type="character" w:customStyle="1" w:styleId="17">
    <w:name w:val="hover7"/>
    <w:basedOn w:val="9"/>
    <w:autoRedefine/>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312</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2023-08-31T00:12:00Z</cp:lastPrinted>
  <dcterms:modified xsi:type="dcterms:W3CDTF">2024-02-23T08:34:47Z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