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D9585">
      <w:pPr>
        <w:spacing w:line="1440" w:lineRule="exact"/>
        <w:jc w:val="distribute"/>
        <w:rPr>
          <w:rFonts w:ascii="方正小标宋简体" w:eastAsia="方正小标宋简体"/>
          <w:bCs/>
          <w:color w:val="FFFFFF" w:themeColor="background1"/>
          <w:w w:val="82"/>
          <w:sz w:val="120"/>
          <w:szCs w:val="120"/>
        </w:rPr>
      </w:pPr>
      <w:bookmarkStart w:id="1" w:name="_GoBack"/>
      <w:bookmarkEnd w:id="1"/>
      <w:r>
        <w:rPr>
          <w:rFonts w:hint="eastAsia" w:ascii="方正小标宋简体" w:eastAsia="方正小标宋简体"/>
          <w:bCs/>
          <w:color w:val="FFFFFF" w:themeColor="background1"/>
          <w:w w:val="82"/>
          <w:sz w:val="120"/>
          <w:szCs w:val="120"/>
        </w:rPr>
        <w:t>南昌市财政局</w:t>
      </w:r>
    </w:p>
    <w:p w14:paraId="0AA1783C">
      <w:pPr>
        <w:spacing w:line="360" w:lineRule="exact"/>
        <w:rPr>
          <w:rFonts w:hint="eastAsia" w:ascii="仿宋_GB2312" w:eastAsia="仿宋_GB2312"/>
          <w:sz w:val="32"/>
          <w:szCs w:val="32"/>
        </w:rPr>
      </w:pPr>
    </w:p>
    <w:p w14:paraId="521927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仿宋_GB2312"/>
          <w:szCs w:val="32"/>
        </w:rPr>
      </w:pPr>
      <w:r>
        <w:pict>
          <v:line id="直线 277" o:spid="_x0000_s1026" o:spt="20" style="position:absolute;left:0pt;margin-left:-7.9pt;margin-top:4.85pt;height:0pt;width:450.3pt;z-index:251660288;mso-width-relative:page;mso-height-relative:page;" filled="f" stroked="t" coordsize="21600,21600">
            <v:path arrowok="t"/>
            <v:fill on="f" focussize="0,0"/>
            <v:stroke weight="3pt" color="#000000" opacity="0f" linestyle="thickThin"/>
            <v:imagedata o:title=""/>
            <o:lock v:ext="edit" aspectratio="f"/>
          </v:line>
        </w:pict>
      </w:r>
    </w:p>
    <w:p w14:paraId="5E1ECC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仿宋_GB2312"/>
          <w:szCs w:val="32"/>
        </w:rPr>
      </w:pPr>
    </w:p>
    <w:p w14:paraId="3617215D">
      <w:pPr>
        <w:keepNext w:val="0"/>
        <w:keepLines w:val="0"/>
        <w:pageBreakBefore w:val="0"/>
        <w:kinsoku/>
        <w:overflowPunct/>
        <w:topLinePunct w:val="0"/>
        <w:autoSpaceDE/>
        <w:autoSpaceDN/>
        <w:bidi w:val="0"/>
        <w:spacing w:line="576" w:lineRule="exact"/>
        <w:ind w:left="0" w:leftChars="0" w:right="0" w:rightChars="0"/>
        <w:jc w:val="center"/>
        <w:textAlignment w:val="auto"/>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不予行政处罚决定书</w:t>
      </w:r>
    </w:p>
    <w:p w14:paraId="53BEF03F">
      <w:pPr>
        <w:keepNext w:val="0"/>
        <w:keepLines w:val="0"/>
        <w:pageBreakBefore w:val="0"/>
        <w:widowControl/>
        <w:kinsoku/>
        <w:overflowPunct/>
        <w:topLinePunct w:val="0"/>
        <w:autoSpaceDE/>
        <w:autoSpaceDN/>
        <w:bidi w:val="0"/>
        <w:spacing w:line="576" w:lineRule="exact"/>
        <w:ind w:left="0" w:leftChars="0" w:right="0" w:rightChars="0"/>
        <w:jc w:val="right"/>
        <w:textAlignment w:val="auto"/>
        <w:rPr>
          <w:rFonts w:ascii="仿宋" w:hAnsi="仿宋" w:eastAsia="仿宋" w:cs="方正仿宋_GB2312"/>
          <w:b/>
          <w:bCs/>
          <w:color w:val="333333"/>
          <w:kern w:val="0"/>
          <w:sz w:val="32"/>
          <w:szCs w:val="32"/>
          <w:shd w:val="clear" w:color="auto" w:fill="FFFFFF"/>
        </w:rPr>
      </w:pPr>
    </w:p>
    <w:p w14:paraId="41351176">
      <w:pPr>
        <w:pStyle w:val="8"/>
        <w:keepNext w:val="0"/>
        <w:keepLines w:val="0"/>
        <w:pageBreakBefore w:val="0"/>
        <w:shd w:val="clear" w:color="auto" w:fill="FFFFFF"/>
        <w:kinsoku/>
        <w:overflowPunct/>
        <w:topLinePunct w:val="0"/>
        <w:autoSpaceDE/>
        <w:autoSpaceDN/>
        <w:bidi w:val="0"/>
        <w:spacing w:before="0" w:beforeAutospacing="0" w:after="0" w:afterAutospacing="0" w:line="576" w:lineRule="exact"/>
        <w:ind w:left="0" w:leftChars="0" w:right="0" w:rightChars="0" w:firstLine="640" w:firstLineChars="200"/>
        <w:textAlignment w:val="auto"/>
        <w:rPr>
          <w:rFonts w:ascii="仿宋_GB2312" w:hAnsi="仿宋" w:eastAsia="仿宋_GB2312" w:cs="方正仿宋_GB2312"/>
          <w:bCs/>
          <w:color w:val="000000"/>
          <w:sz w:val="32"/>
          <w:szCs w:val="32"/>
        </w:rPr>
      </w:pPr>
      <w:r>
        <w:rPr>
          <w:rFonts w:hint="eastAsia" w:ascii="仿宋_GB2312" w:hAnsi="仿宋" w:eastAsia="仿宋_GB2312" w:cs="方正仿宋_GB2312"/>
          <w:bCs/>
          <w:color w:val="000000"/>
          <w:sz w:val="32"/>
          <w:szCs w:val="32"/>
        </w:rPr>
        <w:t>当事人：江西泰地建筑工程有限公司</w:t>
      </w:r>
    </w:p>
    <w:p w14:paraId="5B0AB1A8">
      <w:pPr>
        <w:pStyle w:val="8"/>
        <w:keepNext w:val="0"/>
        <w:keepLines w:val="0"/>
        <w:pageBreakBefore w:val="0"/>
        <w:shd w:val="clear" w:color="auto" w:fill="FFFFFF"/>
        <w:kinsoku/>
        <w:overflowPunct/>
        <w:topLinePunct w:val="0"/>
        <w:autoSpaceDE/>
        <w:autoSpaceDN/>
        <w:bidi w:val="0"/>
        <w:spacing w:before="0" w:beforeAutospacing="0" w:after="0" w:afterAutospacing="0" w:line="576" w:lineRule="exact"/>
        <w:ind w:left="0" w:leftChars="0" w:right="0" w:rightChars="0" w:firstLine="640" w:firstLineChars="200"/>
        <w:textAlignment w:val="auto"/>
        <w:rPr>
          <w:rFonts w:ascii="仿宋_GB2312" w:hAnsi="仿宋" w:eastAsia="仿宋_GB2312" w:cs="方正仿宋_GB2312"/>
          <w:bCs/>
          <w:color w:val="000000"/>
          <w:spacing w:val="-6"/>
          <w:sz w:val="32"/>
          <w:szCs w:val="32"/>
        </w:rPr>
      </w:pPr>
      <w:r>
        <w:rPr>
          <w:rFonts w:hint="eastAsia" w:ascii="仿宋_GB2312" w:hAnsi="仿宋" w:eastAsia="仿宋_GB2312" w:cs="方正仿宋_GB2312"/>
          <w:bCs/>
          <w:color w:val="000000"/>
          <w:sz w:val="32"/>
          <w:szCs w:val="32"/>
        </w:rPr>
        <w:t>统一社会信用代码：91360900MA367CHB7J</w:t>
      </w:r>
    </w:p>
    <w:p w14:paraId="2C3197D1">
      <w:pPr>
        <w:keepNext w:val="0"/>
        <w:keepLines w:val="0"/>
        <w:pageBreakBefore w:val="0"/>
        <w:kinsoku/>
        <w:overflowPunct/>
        <w:topLinePunct w:val="0"/>
        <w:autoSpaceDE/>
        <w:autoSpaceDN/>
        <w:bidi w:val="0"/>
        <w:adjustRightInd w:val="0"/>
        <w:snapToGrid w:val="0"/>
        <w:spacing w:line="576" w:lineRule="exact"/>
        <w:ind w:left="0" w:leftChars="0" w:right="0" w:rightChars="0" w:firstLine="640" w:firstLineChars="200"/>
        <w:textAlignment w:val="auto"/>
        <w:rPr>
          <w:rFonts w:ascii="仿宋_GB2312" w:hAnsi="仿宋" w:eastAsia="仿宋_GB2312" w:cs="方正仿宋_GB2312"/>
          <w:bCs/>
          <w:color w:val="000000"/>
          <w:sz w:val="32"/>
          <w:szCs w:val="32"/>
        </w:rPr>
      </w:pPr>
      <w:r>
        <w:rPr>
          <w:rFonts w:hint="eastAsia" w:ascii="仿宋_GB2312" w:hAnsi="仿宋" w:eastAsia="仿宋_GB2312" w:cs="方正仿宋_GB2312"/>
          <w:bCs/>
          <w:color w:val="000000"/>
          <w:sz w:val="32"/>
          <w:szCs w:val="32"/>
        </w:rPr>
        <w:t>法定代表人：刘勇辉     职务：执行董事、总经理</w:t>
      </w:r>
    </w:p>
    <w:p w14:paraId="06A7444E">
      <w:pPr>
        <w:keepNext w:val="0"/>
        <w:keepLines w:val="0"/>
        <w:pageBreakBefore w:val="0"/>
        <w:widowControl/>
        <w:shd w:val="clear" w:color="auto" w:fill="FFFFFF"/>
        <w:kinsoku/>
        <w:overflowPunct/>
        <w:topLinePunct w:val="0"/>
        <w:autoSpaceDE/>
        <w:autoSpaceDN/>
        <w:bidi w:val="0"/>
        <w:spacing w:line="576" w:lineRule="exact"/>
        <w:ind w:left="0" w:leftChars="0" w:right="0" w:rightChars="0" w:firstLine="640" w:firstLineChars="200"/>
        <w:textAlignment w:val="auto"/>
        <w:rPr>
          <w:rFonts w:ascii="仿宋_GB2312" w:hAnsi="仿宋" w:eastAsia="仿宋_GB2312" w:cs="方正仿宋_GB2312"/>
          <w:bCs/>
          <w:color w:val="000000"/>
          <w:sz w:val="32"/>
          <w:szCs w:val="32"/>
          <w:shd w:val="clear" w:color="auto" w:fill="FFFFFF"/>
        </w:rPr>
      </w:pPr>
      <w:r>
        <w:rPr>
          <w:rFonts w:hint="eastAsia" w:ascii="仿宋_GB2312" w:hAnsi="仿宋" w:eastAsia="仿宋_GB2312" w:cs="方正仿宋_GB2312"/>
          <w:bCs/>
          <w:color w:val="000000"/>
          <w:sz w:val="32"/>
          <w:szCs w:val="32"/>
          <w:shd w:val="clear" w:color="auto" w:fill="FFFFFF"/>
        </w:rPr>
        <w:t>住所地：江西省南昌市南昌县迎宾北大道1088号意环大厦商业写字楼5层510室</w:t>
      </w:r>
    </w:p>
    <w:p w14:paraId="2C43C939">
      <w:pPr>
        <w:keepNext w:val="0"/>
        <w:keepLines w:val="0"/>
        <w:pageBreakBefore w:val="0"/>
        <w:kinsoku/>
        <w:overflowPunct/>
        <w:topLinePunct w:val="0"/>
        <w:autoSpaceDE/>
        <w:autoSpaceDN/>
        <w:bidi w:val="0"/>
        <w:spacing w:line="576" w:lineRule="exact"/>
        <w:ind w:left="0" w:leftChars="0" w:right="0" w:rightChars="0" w:firstLine="640" w:firstLineChars="200"/>
        <w:textAlignment w:val="auto"/>
        <w:rPr>
          <w:rFonts w:ascii="仿宋_GB2312" w:hAnsi="仿宋" w:eastAsia="仿宋_GB2312" w:cs="方正仿宋_GB2312"/>
          <w:color w:val="000000"/>
          <w:sz w:val="32"/>
          <w:szCs w:val="32"/>
        </w:rPr>
      </w:pPr>
      <w:r>
        <w:rPr>
          <w:rFonts w:hint="eastAsia" w:ascii="仿宋_GB2312" w:hAnsi="仿宋" w:eastAsia="仿宋_GB2312" w:cs="方正仿宋_GB2312"/>
          <w:color w:val="000000"/>
          <w:sz w:val="32"/>
          <w:szCs w:val="32"/>
        </w:rPr>
        <w:t>本机关在处理洪财投决字〔2025〕14号政府采购投诉时发现，你单位在2025年水泵、电机、电气及信息化等设备维修养护项目（项目编号：JXCTGC-2024-001）中，涉嫌提供虚假材料谋取中标。</w:t>
      </w:r>
    </w:p>
    <w:p w14:paraId="527D8A2A">
      <w:pPr>
        <w:keepNext w:val="0"/>
        <w:keepLines w:val="0"/>
        <w:pageBreakBefore w:val="0"/>
        <w:kinsoku/>
        <w:overflowPunct/>
        <w:topLinePunct w:val="0"/>
        <w:autoSpaceDE/>
        <w:autoSpaceDN/>
        <w:bidi w:val="0"/>
        <w:spacing w:line="576" w:lineRule="exact"/>
        <w:ind w:left="0" w:leftChars="0" w:right="0" w:rightChars="0" w:firstLine="640" w:firstLineChars="200"/>
        <w:textAlignment w:val="auto"/>
        <w:rPr>
          <w:rFonts w:ascii="仿宋_GB2312" w:hAnsi="仿宋" w:eastAsia="仿宋_GB2312" w:cs="方正仿宋_GB2312"/>
          <w:color w:val="000000"/>
          <w:sz w:val="32"/>
          <w:szCs w:val="32"/>
        </w:rPr>
      </w:pPr>
      <w:r>
        <w:rPr>
          <w:rFonts w:hint="eastAsia" w:ascii="仿宋_GB2312" w:hAnsi="仿宋" w:eastAsia="仿宋_GB2312" w:cs="方正仿宋_GB2312"/>
          <w:color w:val="000000"/>
          <w:sz w:val="32"/>
          <w:szCs w:val="32"/>
        </w:rPr>
        <w:t>你单位投标文件中提供了由华认联认证服务有限公司出具的《CCRC信息安全服务资质认证证书》（证书编号：CCRE25370090）、《信息安全管理体系认证证书》（证书编号：PCD6878657390900）及《信息技术服务管理体系认证证书》（证书编号：PCD5059633692850）三份证书。经查询全国认证认可信息公共服务平台从业机构名录，华认联认证服务有限公司不在名录之内，且在该平台中未查询到上述证书的任何相关信息，在国家企业信用信息公示系统中也未查询到华认联认证服务有限公司的任何相关信息。你单位对此无法作出合理解释，虽你单位辩称不具有主观故意，但作为参与政府采购的供应商，具有核实投标材料真实性、有效性的法定义务，你单位对于上述证书未尽审慎审查义务，应对提供虚假材料的行为负责，故你单位的行为已构成《中华人民共和国政府采购法》第七十七条第一款第一项：“提供虚假材料谋取中标、成交”的情形。</w:t>
      </w:r>
    </w:p>
    <w:p w14:paraId="4E04E3DF">
      <w:pPr>
        <w:keepNext w:val="0"/>
        <w:keepLines w:val="0"/>
        <w:pageBreakBefore w:val="0"/>
        <w:kinsoku/>
        <w:overflowPunct/>
        <w:topLinePunct w:val="0"/>
        <w:autoSpaceDE/>
        <w:autoSpaceDN/>
        <w:bidi w:val="0"/>
        <w:spacing w:line="576" w:lineRule="exact"/>
        <w:ind w:left="0" w:leftChars="0" w:right="0" w:rightChars="0" w:firstLine="640" w:firstLineChars="200"/>
        <w:textAlignment w:val="auto"/>
        <w:rPr>
          <w:rFonts w:ascii="仿宋_GB2312" w:hAnsi="仿宋" w:eastAsia="仿宋_GB2312" w:cs="方正仿宋_GB2312"/>
          <w:color w:val="000000"/>
          <w:sz w:val="32"/>
          <w:szCs w:val="32"/>
        </w:rPr>
      </w:pPr>
      <w:r>
        <w:rPr>
          <w:rFonts w:hint="eastAsia" w:ascii="仿宋_GB2312" w:hAnsi="仿宋" w:eastAsia="仿宋_GB2312" w:cs="方正仿宋_GB2312"/>
          <w:color w:val="000000"/>
          <w:sz w:val="32"/>
          <w:szCs w:val="32"/>
        </w:rPr>
        <w:t>以上事实有当事人投标文件、情况说明及首违不罚承诺书、全国认证认可信息公共服务平台查询页面截图、国家企业信用信息公示系统查询页面截图等证据材料予以印证。</w:t>
      </w:r>
    </w:p>
    <w:p w14:paraId="2D7D598F">
      <w:pPr>
        <w:keepNext w:val="0"/>
        <w:keepLines w:val="0"/>
        <w:pageBreakBefore w:val="0"/>
        <w:kinsoku/>
        <w:overflowPunct/>
        <w:topLinePunct w:val="0"/>
        <w:autoSpaceDE/>
        <w:autoSpaceDN/>
        <w:bidi w:val="0"/>
        <w:spacing w:line="576" w:lineRule="exact"/>
        <w:ind w:left="0" w:leftChars="0" w:right="0" w:rightChars="0" w:firstLine="640" w:firstLineChars="200"/>
        <w:textAlignment w:val="auto"/>
        <w:rPr>
          <w:rFonts w:ascii="仿宋_GB2312" w:hAnsi="仿宋" w:eastAsia="仿宋_GB2312" w:cs="方正仿宋_GB2312"/>
          <w:color w:val="000000"/>
          <w:sz w:val="32"/>
          <w:szCs w:val="32"/>
        </w:rPr>
      </w:pPr>
      <w:r>
        <w:rPr>
          <w:rFonts w:hint="eastAsia" w:ascii="仿宋_GB2312" w:hAnsi="仿宋" w:eastAsia="仿宋_GB2312" w:cs="方正仿宋_GB2312"/>
          <w:color w:val="000000"/>
          <w:sz w:val="32"/>
          <w:szCs w:val="32"/>
        </w:rPr>
        <w:t>鉴于你单位中标后在质疑阶段因质疑事项成立已被取消中标资格，危害后果轻微，积极配合调查，已采取措施主动减轻危害后果，及时改正，且在政府采购领域无相关违法记录。</w:t>
      </w:r>
    </w:p>
    <w:p w14:paraId="761C1A5F">
      <w:pPr>
        <w:keepNext w:val="0"/>
        <w:keepLines w:val="0"/>
        <w:pageBreakBefore w:val="0"/>
        <w:kinsoku/>
        <w:overflowPunct/>
        <w:topLinePunct w:val="0"/>
        <w:autoSpaceDE/>
        <w:autoSpaceDN/>
        <w:bidi w:val="0"/>
        <w:spacing w:line="576" w:lineRule="exact"/>
        <w:ind w:left="0" w:leftChars="0" w:right="0" w:rightChars="0" w:firstLine="640" w:firstLineChars="200"/>
        <w:textAlignment w:val="auto"/>
        <w:rPr>
          <w:rFonts w:ascii="仿宋_GB2312" w:hAnsi="仿宋" w:eastAsia="仿宋_GB2312" w:cs="方正仿宋_GB2312"/>
          <w:color w:val="000000"/>
          <w:sz w:val="32"/>
          <w:szCs w:val="32"/>
        </w:rPr>
      </w:pPr>
      <w:r>
        <w:rPr>
          <w:rFonts w:hint="eastAsia" w:ascii="仿宋_GB2312" w:hAnsi="仿宋" w:eastAsia="仿宋_GB2312" w:cs="方正仿宋_GB2312"/>
          <w:color w:val="000000"/>
          <w:sz w:val="32"/>
          <w:szCs w:val="32"/>
        </w:rPr>
        <w:t>据此，本机关依据《中华人民共和国行政处罚法》第三十三条第一款：“违法行为轻微并及时改正，没有造成危害后果的，不予行政处罚。初次违法且危害后果轻微并及时改正的，可以不予行政处罚。”第三十三条第三款：“对当事人的违法行为依法不予行政处罚的，行政机关应当对当事人进行教育。”以及《江西省财政部门不予、减轻、从轻和从重行政处罚适用规则》第十条：“初次违法且危害后果轻微并及时改正的，可以不予行政处罚，具体情形为：（一）初次违法，没有违法所得，危害后果轻微，已采取措施主动消除或者减轻危害后果且及时改正的；”之规定，决定如下：</w:t>
      </w:r>
    </w:p>
    <w:p w14:paraId="0FF24DA2">
      <w:pPr>
        <w:keepNext w:val="0"/>
        <w:keepLines w:val="0"/>
        <w:pageBreakBefore w:val="0"/>
        <w:kinsoku/>
        <w:overflowPunct/>
        <w:topLinePunct w:val="0"/>
        <w:autoSpaceDE/>
        <w:autoSpaceDN/>
        <w:bidi w:val="0"/>
        <w:spacing w:line="576" w:lineRule="exact"/>
        <w:ind w:left="0" w:leftChars="0" w:right="0" w:rightChars="0" w:firstLine="640" w:firstLineChars="200"/>
        <w:textAlignment w:val="auto"/>
        <w:rPr>
          <w:rFonts w:ascii="仿宋_GB2312" w:hAnsi="仿宋" w:eastAsia="仿宋_GB2312" w:cs="方正仿宋_GB2312"/>
          <w:color w:val="000000"/>
          <w:sz w:val="32"/>
          <w:szCs w:val="32"/>
        </w:rPr>
      </w:pPr>
      <w:r>
        <w:rPr>
          <w:rFonts w:hint="eastAsia" w:ascii="黑体" w:hAnsi="黑体" w:eastAsia="黑体" w:cs="黑体"/>
          <w:color w:val="000000"/>
          <w:sz w:val="32"/>
          <w:szCs w:val="32"/>
        </w:rPr>
        <w:t>一、</w:t>
      </w:r>
      <w:r>
        <w:rPr>
          <w:rFonts w:hint="eastAsia" w:ascii="仿宋_GB2312" w:hAnsi="仿宋" w:eastAsia="仿宋_GB2312" w:cs="方正仿宋_GB2312"/>
          <w:color w:val="000000"/>
          <w:sz w:val="32"/>
          <w:szCs w:val="32"/>
        </w:rPr>
        <w:t>对你单位的上述行为不予行政处罚；</w:t>
      </w:r>
    </w:p>
    <w:p w14:paraId="511CEDBD">
      <w:pPr>
        <w:keepNext w:val="0"/>
        <w:keepLines w:val="0"/>
        <w:pageBreakBefore w:val="0"/>
        <w:kinsoku/>
        <w:overflowPunct/>
        <w:topLinePunct w:val="0"/>
        <w:autoSpaceDE/>
        <w:autoSpaceDN/>
        <w:bidi w:val="0"/>
        <w:spacing w:line="576" w:lineRule="exact"/>
        <w:ind w:left="0" w:leftChars="0" w:right="0" w:rightChars="0" w:firstLine="640"/>
        <w:textAlignment w:val="auto"/>
        <w:rPr>
          <w:rFonts w:ascii="仿宋_GB2312" w:hAnsi="仿宋" w:eastAsia="仿宋_GB2312" w:cs="方正仿宋_GB2312"/>
          <w:color w:val="000000"/>
          <w:sz w:val="32"/>
          <w:szCs w:val="32"/>
        </w:rPr>
      </w:pPr>
      <w:r>
        <w:rPr>
          <w:rFonts w:hint="eastAsia" w:ascii="黑体" w:hAnsi="黑体" w:eastAsia="黑体" w:cs="黑体"/>
          <w:color w:val="000000"/>
          <w:sz w:val="32"/>
          <w:szCs w:val="32"/>
        </w:rPr>
        <w:t>二、</w:t>
      </w:r>
      <w:r>
        <w:rPr>
          <w:rFonts w:hint="eastAsia" w:ascii="仿宋_GB2312" w:hAnsi="仿宋" w:eastAsia="仿宋_GB2312" w:cs="方正仿宋_GB2312"/>
          <w:color w:val="000000"/>
          <w:sz w:val="32"/>
          <w:szCs w:val="32"/>
        </w:rPr>
        <w:t>你单位应在今后政府采购活动中委托第三方中介公司联系检测机构进行检测检验时应对其出具的检测报告的真实性、合法性严格审查。</w:t>
      </w:r>
    </w:p>
    <w:p w14:paraId="5642792A">
      <w:pPr>
        <w:keepNext w:val="0"/>
        <w:keepLines w:val="0"/>
        <w:pageBreakBefore w:val="0"/>
        <w:kinsoku/>
        <w:overflowPunct/>
        <w:topLinePunct w:val="0"/>
        <w:autoSpaceDE/>
        <w:autoSpaceDN/>
        <w:bidi w:val="0"/>
        <w:spacing w:line="576" w:lineRule="exact"/>
        <w:ind w:left="0" w:leftChars="0" w:right="0" w:rightChars="0" w:firstLine="640"/>
        <w:textAlignment w:val="auto"/>
        <w:rPr>
          <w:rFonts w:ascii="仿宋_GB2312" w:hAnsi="仿宋" w:eastAsia="仿宋_GB2312" w:cs="方正仿宋_GB2312"/>
          <w:color w:val="000000"/>
          <w:sz w:val="32"/>
          <w:szCs w:val="32"/>
        </w:rPr>
      </w:pPr>
      <w:r>
        <w:rPr>
          <w:rFonts w:hint="eastAsia" w:ascii="黑体" w:hAnsi="黑体" w:eastAsia="黑体" w:cs="黑体"/>
          <w:color w:val="000000"/>
          <w:sz w:val="32"/>
          <w:szCs w:val="32"/>
        </w:rPr>
        <w:t>三、</w:t>
      </w:r>
      <w:r>
        <w:rPr>
          <w:rFonts w:hint="eastAsia" w:ascii="仿宋_GB2312" w:hAnsi="仿宋" w:eastAsia="仿宋_GB2312" w:cs="方正仿宋_GB2312"/>
          <w:color w:val="000000"/>
          <w:sz w:val="32"/>
          <w:szCs w:val="32"/>
        </w:rPr>
        <w:t>你单位应自收到本决定书之日起15日内就整改情况形成书面意见报送本机关。</w:t>
      </w:r>
    </w:p>
    <w:p w14:paraId="338684EB">
      <w:pPr>
        <w:keepNext w:val="0"/>
        <w:keepLines w:val="0"/>
        <w:pageBreakBefore w:val="0"/>
        <w:kinsoku/>
        <w:overflowPunct/>
        <w:topLinePunct w:val="0"/>
        <w:autoSpaceDE/>
        <w:autoSpaceDN/>
        <w:bidi w:val="0"/>
        <w:spacing w:line="576" w:lineRule="exact"/>
        <w:ind w:left="0" w:leftChars="0" w:right="0" w:rightChars="0" w:firstLine="640"/>
        <w:textAlignment w:val="auto"/>
        <w:rPr>
          <w:rFonts w:ascii="仿宋_GB2312" w:hAnsi="仿宋" w:eastAsia="仿宋_GB2312" w:cs="方正仿宋_GB2312"/>
          <w:color w:val="000000"/>
          <w:sz w:val="32"/>
          <w:szCs w:val="32"/>
        </w:rPr>
      </w:pPr>
      <w:r>
        <w:rPr>
          <w:rFonts w:hint="eastAsia" w:ascii="仿宋_GB2312" w:hAnsi="仿宋" w:eastAsia="仿宋_GB2312" w:cs="方正仿宋_GB2312"/>
          <w:color w:val="000000"/>
          <w:sz w:val="32"/>
          <w:szCs w:val="32"/>
        </w:rPr>
        <w:t>你单位如对本决定书不服，可在收到本决定书之日起六十日内向南昌市人民政府申请行政复议，或在收到本决定书之日起六个月内直接向南昌铁路运输法院提起行政诉讼。</w:t>
      </w:r>
    </w:p>
    <w:p w14:paraId="77EDC112">
      <w:pPr>
        <w:keepNext w:val="0"/>
        <w:keepLines w:val="0"/>
        <w:pageBreakBefore w:val="0"/>
        <w:kinsoku/>
        <w:overflowPunct/>
        <w:topLinePunct w:val="0"/>
        <w:autoSpaceDE/>
        <w:autoSpaceDN/>
        <w:bidi w:val="0"/>
        <w:spacing w:line="576" w:lineRule="exact"/>
        <w:ind w:left="0" w:leftChars="0" w:right="0" w:rightChars="0" w:firstLine="640" w:firstLineChars="200"/>
        <w:textAlignment w:val="auto"/>
        <w:rPr>
          <w:rFonts w:ascii="仿宋_GB2312" w:hAnsi="方正仿宋_GB2312" w:eastAsia="仿宋_GB2312" w:cs="方正仿宋_GB2312"/>
          <w:color w:val="000000"/>
          <w:sz w:val="32"/>
          <w:szCs w:val="32"/>
        </w:rPr>
      </w:pPr>
    </w:p>
    <w:p w14:paraId="01CBB1C5">
      <w:pPr>
        <w:keepNext w:val="0"/>
        <w:keepLines w:val="0"/>
        <w:pageBreakBefore w:val="0"/>
        <w:kinsoku/>
        <w:overflowPunct/>
        <w:topLinePunct w:val="0"/>
        <w:autoSpaceDE/>
        <w:autoSpaceDN/>
        <w:bidi w:val="0"/>
        <w:spacing w:line="576" w:lineRule="exact"/>
        <w:ind w:left="0" w:leftChars="0" w:right="0" w:rightChars="0" w:firstLine="596" w:firstLineChars="200"/>
        <w:textAlignment w:val="auto"/>
        <w:rPr>
          <w:rFonts w:ascii="仿宋_GB2312" w:hAnsi="方正仿宋_GB2312" w:eastAsia="仿宋_GB2312" w:cs="方正仿宋_GB2312"/>
          <w:color w:val="000000"/>
          <w:spacing w:val="-11"/>
          <w:sz w:val="32"/>
          <w:szCs w:val="32"/>
        </w:rPr>
      </w:pPr>
      <w:r>
        <w:rPr>
          <w:rFonts w:hint="eastAsia" w:ascii="仿宋_GB2312" w:hAnsi="方正仿宋_GB2312" w:eastAsia="仿宋_GB2312" w:cs="方正仿宋_GB2312"/>
          <w:color w:val="000000"/>
          <w:spacing w:val="-11"/>
          <w:sz w:val="32"/>
          <w:szCs w:val="32"/>
        </w:rPr>
        <w:t>联系人：南昌市财政局</w:t>
      </w:r>
    </w:p>
    <w:p w14:paraId="40D2E390">
      <w:pPr>
        <w:keepNext w:val="0"/>
        <w:keepLines w:val="0"/>
        <w:pageBreakBefore w:val="0"/>
        <w:kinsoku/>
        <w:overflowPunct/>
        <w:topLinePunct w:val="0"/>
        <w:autoSpaceDE/>
        <w:autoSpaceDN/>
        <w:bidi w:val="0"/>
        <w:spacing w:line="576" w:lineRule="exact"/>
        <w:ind w:left="0" w:leftChars="0" w:right="0" w:rightChars="0" w:firstLine="596" w:firstLineChars="200"/>
        <w:textAlignment w:val="auto"/>
        <w:rPr>
          <w:rFonts w:ascii="仿宋_GB2312" w:hAnsi="方正仿宋_GB2312" w:eastAsia="仿宋_GB2312" w:cs="方正仿宋_GB2312"/>
          <w:color w:val="000000"/>
          <w:spacing w:val="-11"/>
          <w:sz w:val="32"/>
          <w:szCs w:val="32"/>
        </w:rPr>
      </w:pPr>
      <w:r>
        <w:rPr>
          <w:rFonts w:hint="eastAsia" w:ascii="仿宋_GB2312" w:hAnsi="方正仿宋_GB2312" w:eastAsia="仿宋_GB2312" w:cs="方正仿宋_GB2312"/>
          <w:color w:val="000000"/>
          <w:spacing w:val="-11"/>
          <w:sz w:val="32"/>
          <w:szCs w:val="32"/>
        </w:rPr>
        <w:t>联系电话：0791-83986405</w:t>
      </w:r>
    </w:p>
    <w:p w14:paraId="3CCE5F97">
      <w:pPr>
        <w:keepNext w:val="0"/>
        <w:keepLines w:val="0"/>
        <w:pageBreakBefore w:val="0"/>
        <w:kinsoku/>
        <w:overflowPunct/>
        <w:topLinePunct w:val="0"/>
        <w:autoSpaceDE/>
        <w:autoSpaceDN/>
        <w:bidi w:val="0"/>
        <w:spacing w:line="576" w:lineRule="exact"/>
        <w:ind w:left="0" w:leftChars="0" w:right="0" w:rightChars="0" w:firstLine="596" w:firstLineChars="200"/>
        <w:textAlignment w:val="auto"/>
        <w:rPr>
          <w:rFonts w:ascii="仿宋_GB2312" w:hAnsi="方正仿宋_GB2312" w:eastAsia="仿宋_GB2312" w:cs="方正仿宋_GB2312"/>
          <w:color w:val="000000"/>
          <w:spacing w:val="-11"/>
          <w:sz w:val="32"/>
          <w:szCs w:val="32"/>
        </w:rPr>
      </w:pPr>
      <w:r>
        <w:rPr>
          <w:rFonts w:hint="eastAsia" w:ascii="仿宋_GB2312" w:hAnsi="方正仿宋_GB2312" w:eastAsia="仿宋_GB2312" w:cs="方正仿宋_GB2312"/>
          <w:color w:val="000000"/>
          <w:spacing w:val="-11"/>
          <w:sz w:val="32"/>
          <w:szCs w:val="32"/>
        </w:rPr>
        <w:t>联系地址：南昌市红谷滩区会展路199号红谷大厦B座1816室</w:t>
      </w:r>
    </w:p>
    <w:p w14:paraId="39133E1E">
      <w:pPr>
        <w:keepNext w:val="0"/>
        <w:keepLines w:val="0"/>
        <w:pageBreakBefore w:val="0"/>
        <w:kinsoku/>
        <w:overflowPunct/>
        <w:topLinePunct w:val="0"/>
        <w:autoSpaceDE/>
        <w:autoSpaceDN/>
        <w:bidi w:val="0"/>
        <w:spacing w:line="576" w:lineRule="exact"/>
        <w:ind w:left="0" w:leftChars="0" w:right="0" w:rightChars="0" w:firstLine="640" w:firstLineChars="200"/>
        <w:textAlignment w:val="auto"/>
        <w:rPr>
          <w:rFonts w:ascii="仿宋_GB2312" w:hAnsi="方正仿宋_GB2312" w:eastAsia="仿宋_GB2312" w:cs="方正仿宋_GB2312"/>
          <w:color w:val="000000"/>
          <w:sz w:val="32"/>
          <w:szCs w:val="32"/>
        </w:rPr>
      </w:pPr>
    </w:p>
    <w:p w14:paraId="1BF02DC0">
      <w:pPr>
        <w:pStyle w:val="2"/>
      </w:pPr>
    </w:p>
    <w:p w14:paraId="76347268">
      <w:pPr>
        <w:keepNext w:val="0"/>
        <w:keepLines w:val="0"/>
        <w:pageBreakBefore w:val="0"/>
        <w:kinsoku/>
        <w:overflowPunct/>
        <w:topLinePunct w:val="0"/>
        <w:autoSpaceDE/>
        <w:autoSpaceDN/>
        <w:bidi w:val="0"/>
        <w:spacing w:line="576" w:lineRule="exact"/>
        <w:ind w:left="0" w:leftChars="0" w:right="0" w:rightChars="0" w:firstLine="640" w:firstLineChars="200"/>
        <w:textAlignment w:val="auto"/>
        <w:rPr>
          <w:rFonts w:ascii="仿宋_GB2312" w:hAnsi="方正仿宋_GB2312" w:eastAsia="仿宋_GB2312" w:cs="方正仿宋_GB2312"/>
          <w:color w:val="000000"/>
          <w:sz w:val="32"/>
          <w:szCs w:val="32"/>
        </w:rPr>
      </w:pPr>
    </w:p>
    <w:p w14:paraId="0F70716F">
      <w:pPr>
        <w:keepNext w:val="0"/>
        <w:keepLines w:val="0"/>
        <w:pageBreakBefore w:val="0"/>
        <w:kinsoku/>
        <w:wordWrap w:val="0"/>
        <w:overflowPunct/>
        <w:topLinePunct w:val="0"/>
        <w:autoSpaceDE/>
        <w:autoSpaceDN/>
        <w:bidi w:val="0"/>
        <w:spacing w:line="576" w:lineRule="exact"/>
        <w:ind w:left="0" w:leftChars="0" w:right="0" w:rightChars="0" w:firstLine="640" w:firstLineChars="200"/>
        <w:jc w:val="right"/>
        <w:textAlignment w:val="auto"/>
        <w:rPr>
          <w:rFonts w:ascii="仿宋_GB2312" w:hAnsi="方正仿宋_GB2312" w:eastAsia="仿宋_GB2312" w:cs="方正仿宋_GB2312"/>
          <w:color w:val="000000"/>
          <w:sz w:val="32"/>
          <w:szCs w:val="32"/>
        </w:rPr>
      </w:pPr>
      <w:r>
        <w:rPr>
          <w:rFonts w:hint="eastAsia" w:ascii="仿宋_GB2312" w:hAnsi="方正仿宋_GB2312" w:eastAsia="仿宋_GB2312" w:cs="方正仿宋_GB2312"/>
          <w:color w:val="000000"/>
          <w:sz w:val="32"/>
          <w:szCs w:val="32"/>
        </w:rPr>
        <w:t xml:space="preserve">南昌市财政局 </w:t>
      </w:r>
      <w:r>
        <w:rPr>
          <w:rFonts w:hint="eastAsia" w:ascii="仿宋_GB2312" w:hAnsi="方正仿宋_GB2312" w:eastAsia="仿宋_GB2312" w:cs="方正仿宋_GB2312"/>
          <w:color w:val="000000"/>
          <w:sz w:val="32"/>
          <w:szCs w:val="32"/>
          <w:lang w:val="en-US" w:eastAsia="zh-CN"/>
        </w:rPr>
        <w:t xml:space="preserve"> </w:t>
      </w:r>
    </w:p>
    <w:p w14:paraId="41DFECE0">
      <w:pPr>
        <w:keepNext w:val="0"/>
        <w:keepLines w:val="0"/>
        <w:pageBreakBefore w:val="0"/>
        <w:kinsoku/>
        <w:overflowPunct/>
        <w:topLinePunct w:val="0"/>
        <w:autoSpaceDE/>
        <w:autoSpaceDN/>
        <w:bidi w:val="0"/>
        <w:spacing w:line="576" w:lineRule="exact"/>
        <w:ind w:left="0" w:leftChars="0" w:right="0" w:rightChars="0" w:firstLine="640" w:firstLineChars="200"/>
        <w:jc w:val="right"/>
        <w:textAlignment w:val="auto"/>
        <w:rPr>
          <w:rFonts w:ascii="仿宋_GB2312" w:hAnsi="方正仿宋_GB2312" w:eastAsia="仿宋_GB2312" w:cs="方正仿宋_GB2312"/>
          <w:color w:val="000000"/>
          <w:sz w:val="32"/>
          <w:szCs w:val="32"/>
        </w:rPr>
      </w:pPr>
      <w:r>
        <w:rPr>
          <w:rFonts w:hint="eastAsia" w:ascii="仿宋_GB2312" w:hAnsi="方正仿宋_GB2312" w:eastAsia="仿宋_GB2312" w:cs="方正仿宋_GB2312"/>
          <w:color w:val="000000"/>
          <w:sz w:val="32"/>
          <w:szCs w:val="32"/>
        </w:rPr>
        <w:t>2025年11月7日</w:t>
      </w:r>
    </w:p>
    <w:p w14:paraId="77778AC3">
      <w:pPr>
        <w:keepNext w:val="0"/>
        <w:keepLines w:val="0"/>
        <w:pageBreakBefore w:val="0"/>
        <w:kinsoku/>
        <w:overflowPunct/>
        <w:topLinePunct w:val="0"/>
        <w:autoSpaceDE/>
        <w:autoSpaceDN/>
        <w:bidi w:val="0"/>
        <w:spacing w:line="576" w:lineRule="exact"/>
        <w:ind w:left="0" w:leftChars="0" w:right="0" w:rightChars="0"/>
        <w:textAlignment w:val="auto"/>
      </w:pPr>
    </w:p>
    <w:sectPr>
      <w:footerReference r:id="rId5" w:type="default"/>
      <w:pgSz w:w="11850" w:h="16783"/>
      <w:pgMar w:top="2098" w:right="1474" w:bottom="1984" w:left="1587" w:header="851" w:footer="992" w:gutter="0"/>
      <w:pgNumType w:fmt="decimal"/>
      <w:cols w:space="0" w:num="1"/>
      <w:rtlGutter w:val="0"/>
      <w:docGrid w:type="lines" w:linePitch="57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97935">
    <w:pPr>
      <w:pStyle w:val="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02FA772">
                <w:pPr>
                  <w:pStyle w:val="3"/>
                  <w:jc w:val="center"/>
                  <w:rPr>
                    <w:rStyle w:val="7"/>
                    <w:rFonts w:hint="eastAsia" w:ascii="宋体" w:hAnsi="宋体" w:eastAsia="宋体" w:cs="宋体"/>
                    <w:sz w:val="28"/>
                    <w:szCs w:val="28"/>
                    <w:lang w:eastAsia="zh-CN"/>
                  </w:rPr>
                </w:pPr>
                <w:bookmarkStart w:id="0" w:name="OLE_LINK1"/>
                <w:r>
                  <w:rPr>
                    <w:rStyle w:val="7"/>
                    <w:rFonts w:hint="eastAsia" w:ascii="宋体" w:hAnsi="宋体" w:eastAsia="宋体" w:cs="宋体"/>
                    <w:sz w:val="28"/>
                    <w:szCs w:val="28"/>
                  </w:rPr>
                  <w:t>─</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Fonts w:hint="eastAsia" w:ascii="宋体" w:hAnsi="宋体" w:eastAsia="宋体" w:cs="宋体"/>
                    <w:sz w:val="28"/>
                    <w:szCs w:val="28"/>
                  </w:rPr>
                  <w:fldChar w:fldCharType="end"/>
                </w:r>
                <w:r>
                  <w:rPr>
                    <w:rStyle w:val="7"/>
                    <w:rFonts w:hint="eastAsia" w:ascii="宋体" w:hAnsi="宋体" w:eastAsia="宋体" w:cs="宋体"/>
                    <w:sz w:val="28"/>
                    <w:szCs w:val="28"/>
                  </w:rPr>
                  <w:t>─</w:t>
                </w:r>
              </w:p>
              <w:bookmarkEnd w:id="0"/>
              <w:p w14:paraId="5D994DC0">
                <w:pPr>
                  <w:pStyle w:val="3"/>
                  <w:rPr>
                    <w:rFonts w:hint="eastAsia" w:eastAsia="宋体"/>
                    <w:lang w:eastAsia="zh-CN"/>
                  </w:rPr>
                </w:pPr>
              </w:p>
              <w:p w14:paraId="2C8457F0">
                <w:pPr>
                  <w:pStyle w:val="3"/>
                  <w:rPr>
                    <w:rFonts w:hint="eastAsia" w:eastAsia="宋体"/>
                    <w:lang w:eastAsia="zh-CN"/>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89"/>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6A56"/>
    <w:rsid w:val="00556A56"/>
    <w:rsid w:val="00AA6C68"/>
    <w:rsid w:val="0A6F7905"/>
    <w:rsid w:val="2A5A155E"/>
    <w:rsid w:val="307F39EA"/>
    <w:rsid w:val="4BEF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uiPriority w:val="99"/>
    <w:pPr>
      <w:spacing w:after="120"/>
    </w:pPr>
    <w:rPr>
      <w:rFonts w:ascii="Calibri" w:hAnsi="Calibri" w:eastAsia="宋体" w:cs="Times New Roman"/>
      <w:szCs w:val="21"/>
    </w:r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nhideWhenUsed/>
    <w:uiPriority w:val="99"/>
  </w:style>
  <w:style w:type="paragraph" w:customStyle="1" w:styleId="8">
    <w:name w:val="p0"/>
    <w:basedOn w:val="1"/>
    <w:qFormat/>
    <w:uiPriority w:val="0"/>
    <w:pPr>
      <w:widowControl/>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1178</Words>
  <Characters>1287</Characters>
  <Lines>9</Lines>
  <Paragraphs>2</Paragraphs>
  <TotalTime>0</TotalTime>
  <ScaleCrop>false</ScaleCrop>
  <LinksUpToDate>false</LinksUpToDate>
  <CharactersWithSpaces>1294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2025-11-07T06:58:00Z</dcterms:created>
  <dc:creator>葛凯莉</dc:creator>
  <cp:lastModifiedBy>Lily</cp:lastModifiedBy>
  <dcterms:modified xsi:type="dcterms:W3CDTF">2025-11-10T01:42:38Z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eyJoZGlkIjoiZTlmMzcyNWQ4OTk1Nzg0NzNlNzQ0Y2MyNjBiZDZlZmYiLCJ1c2VySWQiOiIxNzI3OTA0MTk3In0=</vt:lpwstr>
  </property>
  <property fmtid="{D5CDD505-2E9C-101B-9397-08002B2CF9AE}" pid="4" name="ICV">
    <vt:lpwstr>BC8C80B4844B4C95948A101BAF362094_12</vt:lpwstr>
  </property>
</Properties>
</file>