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微软雅黑" w:hAnsi="微软雅黑" w:eastAsia="微软雅黑" w:cs="宋体"/>
          <w:color w:val="000000"/>
          <w:kern w:val="36"/>
          <w:sz w:val="42"/>
          <w:szCs w:val="42"/>
        </w:rPr>
      </w:pPr>
      <w:r>
        <w:rPr>
          <w:rFonts w:hint="eastAsia" w:ascii="仿宋_GB2312" w:hAnsi="微软雅黑" w:eastAsia="仿宋_GB2312" w:cs="宋体"/>
          <w:color w:val="000000"/>
          <w:kern w:val="36"/>
          <w:sz w:val="32"/>
          <w:szCs w:val="32"/>
        </w:rPr>
        <w:t>东财购投诉[2023]</w:t>
      </w:r>
      <w:r>
        <w:rPr>
          <w:rFonts w:hint="eastAsia" w:ascii="仿宋_GB2312" w:hAnsi="微软雅黑" w:eastAsia="仿宋_GB2312" w:cs="宋体"/>
          <w:color w:val="000000"/>
          <w:kern w:val="36"/>
          <w:sz w:val="32"/>
          <w:szCs w:val="32"/>
          <w:lang w:val="en-US" w:eastAsia="zh-CN"/>
        </w:rPr>
        <w:t>2</w:t>
      </w:r>
      <w:r>
        <w:rPr>
          <w:rFonts w:hint="eastAsia" w:ascii="仿宋_GB2312" w:hAnsi="微软雅黑" w:eastAsia="仿宋_GB2312" w:cs="宋体"/>
          <w:color w:val="000000"/>
          <w:kern w:val="36"/>
          <w:sz w:val="32"/>
          <w:szCs w:val="32"/>
        </w:rPr>
        <w:t>号</w:t>
      </w:r>
    </w:p>
    <w:p>
      <w:pPr>
        <w:widowControl/>
        <w:spacing w:line="360" w:lineRule="auto"/>
        <w:jc w:val="center"/>
        <w:outlineLvl w:val="1"/>
        <w:rPr>
          <w:rFonts w:cs="宋体" w:asciiTheme="majorEastAsia" w:hAnsiTheme="majorEastAsia" w:eastAsiaTheme="majorEastAsia"/>
          <w:color w:val="000000"/>
          <w:kern w:val="36"/>
          <w:sz w:val="42"/>
          <w:szCs w:val="42"/>
        </w:rPr>
      </w:pPr>
      <w:r>
        <w:rPr>
          <w:rFonts w:hint="eastAsia" w:cs="宋体" w:asciiTheme="majorEastAsia" w:hAnsiTheme="majorEastAsia" w:eastAsiaTheme="majorEastAsia"/>
          <w:b/>
          <w:bCs/>
          <w:color w:val="000000"/>
          <w:kern w:val="36"/>
          <w:sz w:val="44"/>
          <w:szCs w:val="44"/>
        </w:rPr>
        <w:t>投诉处理结果公告</w:t>
      </w:r>
    </w:p>
    <w:p>
      <w:pPr>
        <w:widowControl/>
        <w:spacing w:line="640" w:lineRule="exact"/>
        <w:jc w:val="left"/>
        <w:rPr>
          <w:rFonts w:hint="eastAsia" w:ascii="微软雅黑" w:hAnsi="微软雅黑" w:eastAsia="宋体" w:cs="宋体"/>
          <w:color w:val="333333"/>
          <w:kern w:val="0"/>
          <w:sz w:val="21"/>
          <w:szCs w:val="21"/>
          <w:lang w:val="en-US" w:eastAsia="zh-CN"/>
        </w:rPr>
      </w:pPr>
      <w:r>
        <w:rPr>
          <w:rFonts w:hint="eastAsia" w:cs="宋体"/>
          <w:b/>
          <w:bCs/>
          <w:color w:val="333333"/>
          <w:kern w:val="0"/>
          <w:sz w:val="32"/>
          <w:szCs w:val="32"/>
        </w:rPr>
        <w:t xml:space="preserve">    一、项目编号:</w:t>
      </w:r>
      <w:r>
        <w:rPr>
          <w:rFonts w:hint="eastAsia" w:cs="宋体"/>
          <w:bCs/>
          <w:color w:val="333333"/>
          <w:kern w:val="0"/>
          <w:sz w:val="32"/>
          <w:szCs w:val="32"/>
          <w:lang w:val="en-US" w:eastAsia="zh-CN"/>
        </w:rPr>
        <w:t>FZHX2023</w:t>
      </w:r>
      <w:r>
        <w:rPr>
          <w:rFonts w:hint="eastAsia" w:cs="宋体"/>
          <w:bCs/>
          <w:color w:val="333333"/>
          <w:kern w:val="0"/>
          <w:sz w:val="32"/>
          <w:szCs w:val="32"/>
        </w:rPr>
        <w:t>-DX-00</w:t>
      </w:r>
      <w:r>
        <w:rPr>
          <w:rFonts w:hint="eastAsia" w:cs="宋体"/>
          <w:bCs/>
          <w:color w:val="333333"/>
          <w:kern w:val="0"/>
          <w:sz w:val="32"/>
          <w:szCs w:val="32"/>
          <w:lang w:val="en-US" w:eastAsia="zh-CN"/>
        </w:rPr>
        <w:t>4</w:t>
      </w:r>
    </w:p>
    <w:p>
      <w:pPr>
        <w:widowControl/>
        <w:spacing w:line="640" w:lineRule="exact"/>
        <w:ind w:firstLine="640"/>
        <w:jc w:val="left"/>
        <w:rPr>
          <w:rFonts w:hint="eastAsia" w:ascii="仿宋_GB2312" w:hAnsi="仿宋" w:eastAsia="仿宋_GB2312"/>
          <w:sz w:val="32"/>
          <w:szCs w:val="32"/>
          <w:lang w:val="en-US" w:eastAsia="zh-CN"/>
        </w:rPr>
      </w:pPr>
      <w:r>
        <w:rPr>
          <w:rFonts w:hint="eastAsia" w:cs="宋体"/>
          <w:b/>
          <w:bCs/>
          <w:color w:val="333333"/>
          <w:kern w:val="0"/>
          <w:sz w:val="32"/>
          <w:szCs w:val="32"/>
        </w:rPr>
        <w:t>二、项目名称</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w:t>
      </w:r>
      <w:r>
        <w:rPr>
          <w:rFonts w:hint="eastAsia" w:ascii="仿宋_GB2312" w:hAnsi="仿宋" w:eastAsia="仿宋_GB2312"/>
          <w:sz w:val="32"/>
          <w:szCs w:val="32"/>
          <w:lang w:val="en-US" w:eastAsia="zh-CN"/>
        </w:rPr>
        <w:t>采购</w:t>
      </w:r>
    </w:p>
    <w:p>
      <w:pPr>
        <w:widowControl/>
        <w:spacing w:line="640" w:lineRule="exact"/>
        <w:ind w:firstLine="640"/>
        <w:jc w:val="left"/>
        <w:rPr>
          <w:rFonts w:ascii="微软雅黑" w:hAnsi="微软雅黑" w:eastAsia="微软雅黑" w:cs="宋体"/>
          <w:color w:val="333333"/>
          <w:kern w:val="0"/>
          <w:sz w:val="21"/>
          <w:szCs w:val="21"/>
        </w:rPr>
      </w:pPr>
      <w:r>
        <w:rPr>
          <w:rFonts w:hint="eastAsia" w:cs="宋体"/>
          <w:b/>
          <w:bCs/>
          <w:color w:val="333333"/>
          <w:kern w:val="0"/>
          <w:sz w:val="32"/>
          <w:szCs w:val="32"/>
        </w:rPr>
        <w:t>三、相关当事人</w:t>
      </w:r>
    </w:p>
    <w:p>
      <w:pPr>
        <w:widowControl/>
        <w:spacing w:line="640" w:lineRule="exact"/>
        <w:ind w:firstLine="640"/>
        <w:jc w:val="left"/>
        <w:rPr>
          <w:rFonts w:ascii="仿宋_GB2312" w:hAnsi="微软雅黑" w:eastAsia="仿宋_GB2312" w:cs="宋体"/>
          <w:color w:val="333333"/>
          <w:kern w:val="0"/>
          <w:sz w:val="21"/>
          <w:szCs w:val="21"/>
        </w:rPr>
      </w:pPr>
      <w:r>
        <w:rPr>
          <w:rFonts w:hint="eastAsia" w:ascii="仿宋_GB2312" w:hAnsi="微软雅黑" w:eastAsia="仿宋_GB2312" w:cs="宋体"/>
          <w:color w:val="333333"/>
          <w:kern w:val="0"/>
          <w:sz w:val="32"/>
          <w:szCs w:val="32"/>
        </w:rPr>
        <w:t>投诉人：</w:t>
      </w:r>
      <w:r>
        <w:rPr>
          <w:rFonts w:hint="eastAsia" w:ascii="仿宋_GB2312" w:hAnsi="微软雅黑" w:eastAsia="仿宋_GB2312" w:cs="宋体"/>
          <w:color w:val="333333"/>
          <w:kern w:val="0"/>
          <w:sz w:val="32"/>
          <w:szCs w:val="32"/>
          <w:lang w:eastAsia="zh-CN"/>
        </w:rPr>
        <w:t>瑞昌初萌文化传媒</w:t>
      </w:r>
      <w:r>
        <w:rPr>
          <w:rFonts w:hint="eastAsia" w:ascii="仿宋_GB2312" w:hAnsi="微软雅黑" w:eastAsia="仿宋_GB2312" w:cs="宋体"/>
          <w:color w:val="333333"/>
          <w:kern w:val="0"/>
          <w:sz w:val="32"/>
          <w:szCs w:val="32"/>
        </w:rPr>
        <w:t>有限公司</w:t>
      </w:r>
    </w:p>
    <w:p>
      <w:pPr>
        <w:widowControl/>
        <w:spacing w:line="640" w:lineRule="exact"/>
        <w:ind w:firstLine="640"/>
        <w:jc w:val="left"/>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江西省九江市瑞昌市人民北路青丰小区</w:t>
      </w:r>
      <w:r>
        <w:rPr>
          <w:rFonts w:hint="eastAsia" w:ascii="仿宋_GB2312" w:hAnsi="微软雅黑" w:eastAsia="仿宋_GB2312" w:cs="宋体"/>
          <w:color w:val="333333"/>
          <w:kern w:val="0"/>
          <w:sz w:val="32"/>
          <w:szCs w:val="32"/>
          <w:lang w:val="en-US" w:eastAsia="zh-CN"/>
        </w:rPr>
        <w:t>3栋3单元405室</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投诉人1：</w:t>
      </w:r>
      <w:r>
        <w:rPr>
          <w:rFonts w:hint="eastAsia" w:ascii="仿宋_GB2312" w:hAnsi="仿宋" w:eastAsia="仿宋_GB2312"/>
          <w:sz w:val="32"/>
          <w:szCs w:val="32"/>
        </w:rPr>
        <w:t>抚州市东乡区</w:t>
      </w:r>
      <w:r>
        <w:rPr>
          <w:rFonts w:hint="eastAsia" w:ascii="仿宋_GB2312" w:hAnsi="仿宋" w:eastAsia="仿宋_GB2312"/>
          <w:sz w:val="32"/>
          <w:szCs w:val="32"/>
          <w:lang w:eastAsia="zh-CN"/>
        </w:rPr>
        <w:t>第二中学</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地  址：抚州市东乡区</w:t>
      </w:r>
      <w:r>
        <w:rPr>
          <w:rFonts w:hint="eastAsia" w:ascii="仿宋_GB2312" w:hAnsi="微软雅黑" w:eastAsia="仿宋_GB2312" w:cs="宋体"/>
          <w:color w:val="333333"/>
          <w:kern w:val="0"/>
          <w:sz w:val="32"/>
          <w:szCs w:val="32"/>
          <w:lang w:eastAsia="zh-CN"/>
        </w:rPr>
        <w:t>第二中学</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投诉人2：抚州市</w:t>
      </w:r>
      <w:r>
        <w:rPr>
          <w:rFonts w:hint="eastAsia" w:ascii="仿宋_GB2312" w:hAnsi="微软雅黑" w:eastAsia="仿宋_GB2312" w:cs="宋体"/>
          <w:color w:val="333333"/>
          <w:kern w:val="0"/>
          <w:sz w:val="32"/>
          <w:szCs w:val="32"/>
          <w:lang w:eastAsia="zh-CN"/>
        </w:rPr>
        <w:t>弘兴招投标代理咨询有限公司</w:t>
      </w:r>
    </w:p>
    <w:p>
      <w:pPr>
        <w:widowControl/>
        <w:spacing w:line="640" w:lineRule="exact"/>
        <w:ind w:firstLine="627"/>
        <w:jc w:val="left"/>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江西省</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城市原墅</w:t>
      </w:r>
      <w:r>
        <w:rPr>
          <w:rFonts w:hint="eastAsia" w:ascii="仿宋_GB2312" w:hAnsi="微软雅黑" w:eastAsia="仿宋_GB2312" w:cs="宋体"/>
          <w:color w:val="333333"/>
          <w:kern w:val="0"/>
          <w:sz w:val="32"/>
          <w:szCs w:val="32"/>
          <w:lang w:val="en-US" w:eastAsia="zh-CN"/>
        </w:rPr>
        <w:t>12E</w:t>
      </w:r>
    </w:p>
    <w:p>
      <w:pPr>
        <w:widowControl/>
        <w:spacing w:line="640" w:lineRule="exact"/>
        <w:ind w:firstLine="640"/>
        <w:jc w:val="left"/>
        <w:rPr>
          <w:rFonts w:ascii="微软雅黑" w:hAnsi="微软雅黑" w:eastAsia="微软雅黑" w:cs="宋体"/>
          <w:color w:val="333333"/>
          <w:kern w:val="0"/>
          <w:sz w:val="21"/>
          <w:szCs w:val="21"/>
        </w:rPr>
      </w:pPr>
      <w:r>
        <w:rPr>
          <w:rFonts w:hint="eastAsia" w:cs="宋体"/>
          <w:b/>
          <w:bCs/>
          <w:color w:val="333333"/>
          <w:kern w:val="0"/>
          <w:sz w:val="32"/>
          <w:szCs w:val="32"/>
        </w:rPr>
        <w:t>四、基本情况</w:t>
      </w:r>
    </w:p>
    <w:p>
      <w:pPr>
        <w:widowControl/>
        <w:spacing w:line="640" w:lineRule="exact"/>
        <w:ind w:firstLine="640"/>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微软雅黑" w:eastAsia="仿宋_GB2312" w:cs="宋体"/>
          <w:color w:val="333333"/>
          <w:kern w:val="0"/>
          <w:sz w:val="32"/>
          <w:szCs w:val="32"/>
          <w:lang w:val="en-US" w:eastAsia="zh-CN"/>
        </w:rPr>
        <w:t>受东乡第二中学委托，</w:t>
      </w:r>
      <w:r>
        <w:rPr>
          <w:rFonts w:hint="eastAsia" w:ascii="仿宋_GB2312" w:hAnsi="仿宋" w:eastAsia="仿宋_GB2312"/>
          <w:sz w:val="32"/>
          <w:szCs w:val="32"/>
        </w:rPr>
        <w:t>代理</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w:t>
      </w:r>
      <w:r>
        <w:rPr>
          <w:rFonts w:hint="eastAsia" w:ascii="仿宋_GB2312" w:hAnsi="微软雅黑" w:eastAsia="仿宋_GB2312" w:cs="宋体"/>
          <w:color w:val="333333"/>
          <w:kern w:val="0"/>
          <w:sz w:val="32"/>
          <w:szCs w:val="32"/>
          <w:lang w:eastAsia="zh-CN"/>
        </w:rPr>
        <w:t>采购</w:t>
      </w:r>
      <w:r>
        <w:rPr>
          <w:rFonts w:hint="eastAsia" w:ascii="仿宋_GB2312" w:hAnsi="微软雅黑" w:eastAsia="仿宋_GB2312" w:cs="宋体"/>
          <w:color w:val="333333"/>
          <w:kern w:val="0"/>
          <w:sz w:val="32"/>
          <w:szCs w:val="32"/>
        </w:rPr>
        <w:t>（项目编号：</w:t>
      </w:r>
      <w:r>
        <w:rPr>
          <w:rFonts w:hint="eastAsia" w:cs="宋体"/>
          <w:bCs/>
          <w:color w:val="333333"/>
          <w:kern w:val="0"/>
          <w:sz w:val="32"/>
          <w:szCs w:val="32"/>
          <w:lang w:val="en-US" w:eastAsia="zh-CN"/>
        </w:rPr>
        <w:t>FZHX2023</w:t>
      </w:r>
      <w:r>
        <w:rPr>
          <w:rFonts w:hint="eastAsia" w:cs="宋体"/>
          <w:bCs/>
          <w:color w:val="333333"/>
          <w:kern w:val="0"/>
          <w:sz w:val="32"/>
          <w:szCs w:val="32"/>
        </w:rPr>
        <w:t>-DX-00</w:t>
      </w:r>
      <w:r>
        <w:rPr>
          <w:rFonts w:hint="eastAsia" w:cs="宋体"/>
          <w:bCs/>
          <w:color w:val="333333"/>
          <w:kern w:val="0"/>
          <w:sz w:val="32"/>
          <w:szCs w:val="32"/>
          <w:lang w:val="en-US" w:eastAsia="zh-CN"/>
        </w:rPr>
        <w:t>4</w:t>
      </w:r>
      <w:r>
        <w:rPr>
          <w:rFonts w:hint="eastAsia" w:ascii="仿宋_GB2312" w:hAnsi="微软雅黑" w:eastAsia="仿宋_GB2312" w:cs="宋体"/>
          <w:color w:val="333333"/>
          <w:kern w:val="0"/>
          <w:sz w:val="32"/>
          <w:szCs w:val="32"/>
        </w:rPr>
        <w:t>），采购方式为公开招标</w:t>
      </w:r>
      <w:r>
        <w:rPr>
          <w:rFonts w:hint="eastAsia" w:ascii="仿宋_GB2312" w:hAnsi="微软雅黑" w:eastAsia="仿宋_GB2312" w:cs="宋体"/>
          <w:color w:val="333333"/>
          <w:kern w:val="0"/>
          <w:sz w:val="32"/>
          <w:szCs w:val="32"/>
          <w:lang w:eastAsia="zh-CN"/>
        </w:rPr>
        <w:t>（不见面开标）</w:t>
      </w:r>
      <w:r>
        <w:rPr>
          <w:rFonts w:hint="eastAsia" w:ascii="仿宋_GB2312" w:hAnsi="微软雅黑" w:eastAsia="仿宋_GB2312" w:cs="宋体"/>
          <w:color w:val="333333"/>
          <w:kern w:val="0"/>
          <w:sz w:val="32"/>
          <w:szCs w:val="32"/>
        </w:rPr>
        <w:t>。投诉人依法对采购文件提出质疑，并对质疑答复不满意,于2023年</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月</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日向本机关提起投诉。本机关审查后依法受理，并向被投诉人送达《投诉答复通知书》</w:t>
      </w:r>
      <w:r>
        <w:rPr>
          <w:rFonts w:hint="eastAsia" w:ascii="仿宋_GB2312" w:hAnsi="微软雅黑" w:eastAsia="仿宋_GB2312" w:cs="宋体"/>
          <w:color w:val="333333"/>
          <w:kern w:val="0"/>
          <w:sz w:val="32"/>
          <w:szCs w:val="32"/>
          <w:lang w:eastAsia="zh-CN"/>
        </w:rPr>
        <w:t>，经依法对采购活动中的相关材料进行审查，现本投诉案审查终结。</w:t>
      </w:r>
    </w:p>
    <w:p>
      <w:pPr>
        <w:widowControl/>
        <w:spacing w:line="640" w:lineRule="exact"/>
        <w:ind w:firstLine="640"/>
        <w:jc w:val="left"/>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人称：</w:t>
      </w:r>
    </w:p>
    <w:p>
      <w:pPr>
        <w:widowControl/>
        <w:spacing w:line="640" w:lineRule="exact"/>
        <w:ind w:firstLine="640" w:firstLineChars="200"/>
        <w:jc w:val="left"/>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招标文件第七章采购技术参数序号</w:t>
      </w:r>
      <w:r>
        <w:rPr>
          <w:rFonts w:hint="eastAsia" w:ascii="仿宋_GB2312" w:hAnsi="微软雅黑" w:eastAsia="仿宋_GB2312"/>
          <w:bCs/>
          <w:color w:val="333333"/>
          <w:sz w:val="32"/>
          <w:szCs w:val="32"/>
          <w:lang w:val="en-US" w:eastAsia="zh-CN"/>
        </w:rPr>
        <w:t>8、一体化官员工作站，34多功能教学终端，35、多功能教学系统45、智慧黑板，以上技术参数当中都需要提供加盖制造商公章的第三方检测机构出具的检测报告复印件，是变相的通过生产厂家授权、承诺、证明限定或者指定的专利、商标、品牌对投标人实行差别待遇。如检测报告或厂家参数确认证明必须加盖制造商公章，不仅限制了潜在投标人，妨碍了公平竞争，更会为个别供应商串通厂家只为自己背书、致使其他供应商即便取得货源依然无法投标，请求重新开展采购活动。</w:t>
      </w:r>
    </w:p>
    <w:p>
      <w:pPr>
        <w:widowControl/>
        <w:spacing w:line="640" w:lineRule="exact"/>
        <w:ind w:firstLine="640"/>
        <w:jc w:val="left"/>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lang w:eastAsia="zh-CN"/>
        </w:rPr>
        <w:t>被</w:t>
      </w: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w:t>
      </w:r>
      <w:r>
        <w:rPr>
          <w:rFonts w:hint="eastAsia" w:ascii="仿宋_GB2312" w:hAnsi="仿宋" w:eastAsia="仿宋_GB2312" w:cs="仿宋"/>
          <w:b/>
          <w:bCs/>
          <w:sz w:val="32"/>
          <w:szCs w:val="32"/>
          <w:lang w:val="en-US" w:eastAsia="zh-CN"/>
        </w:rPr>
        <w:t>1、2</w:t>
      </w:r>
      <w:r>
        <w:rPr>
          <w:rFonts w:hint="eastAsia" w:ascii="仿宋_GB2312" w:hAnsi="仿宋" w:eastAsia="仿宋_GB2312" w:cs="仿宋"/>
          <w:b/>
          <w:bCs/>
          <w:sz w:val="32"/>
          <w:szCs w:val="32"/>
          <w:lang w:eastAsia="zh-CN"/>
        </w:rPr>
        <w:t>称：</w:t>
      </w:r>
    </w:p>
    <w:p>
      <w:pPr>
        <w:pStyle w:val="2"/>
        <w:keepNext w:val="0"/>
        <w:keepLines w:val="0"/>
        <w:pageBreakBefore w:val="0"/>
        <w:widowControl w:val="0"/>
        <w:numPr>
          <w:numId w:val="0"/>
        </w:numPr>
        <w:kinsoku/>
        <w:wordWrap/>
        <w:overflowPunct/>
        <w:topLinePunct w:val="0"/>
        <w:autoSpaceDE/>
        <w:autoSpaceDN/>
        <w:bidi w:val="0"/>
        <w:adjustRightInd/>
        <w:snapToGrid/>
        <w:ind w:leftChars="200" w:firstLine="640" w:firstLineChars="200"/>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val="en-US" w:eastAsia="zh-CN"/>
        </w:rPr>
        <w:t>一、</w:t>
      </w:r>
      <w:r>
        <w:rPr>
          <w:rFonts w:hint="eastAsia" w:ascii="仿宋_GB2312" w:hAnsi="微软雅黑" w:eastAsia="仿宋_GB2312"/>
          <w:bCs/>
          <w:color w:val="333333"/>
          <w:sz w:val="32"/>
          <w:szCs w:val="32"/>
          <w:lang w:eastAsia="zh-CN"/>
        </w:rPr>
        <w:t>由于目前全面实现电子化不见面电子化开标，投标人无需提供相关材料原件，仅需提供复印件加盖公章即可，基于目前违规篡改检测报告内容的投标人越来越多，由此引发的质疑投诉也日渐增长，为节约采购时间、提高采购效率，所以要求检测报告加盖制造商公章，加盖公章的目的也只是对投标人提供的检测报告真伪性做一个确认以及对检测报告内容进行负责，给投标人予以警醒，防止投标人提供虚假检测报告谋取中标，同时检测报告也并非授权，也并没有以加盖制造商公章的检测报告作为资格条件，对投标人实行差别待遇或者歧视性待遇。</w:t>
      </w:r>
    </w:p>
    <w:p>
      <w:pPr>
        <w:pStyle w:val="2"/>
        <w:keepNext w:val="0"/>
        <w:keepLines w:val="0"/>
        <w:pageBreakBefore w:val="0"/>
        <w:widowControl w:val="0"/>
        <w:numPr>
          <w:numId w:val="0"/>
        </w:numPr>
        <w:kinsoku/>
        <w:wordWrap/>
        <w:overflowPunct/>
        <w:topLinePunct w:val="0"/>
        <w:autoSpaceDE/>
        <w:autoSpaceDN/>
        <w:bidi w:val="0"/>
        <w:adjustRightInd/>
        <w:snapToGrid/>
        <w:ind w:leftChars="200" w:firstLine="640" w:firstLineChars="200"/>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二、该项目要求潜在投标人提供检测报告来佐证相关检测数据，可以更直观体现投标人提供货物的质量是否符合技术要求，与采购需求相关，并没有限定特定品牌或者供应商，招标文件也并没有把单独的检测报告作为资格条件，而是作为技术参数的佐证材料，通过检测报告来佐证投标人货物的技术参数是否达到招标文件参数要求，同时本项目也没有单独将检测报告作为评审因素，也没有要求特定检测机构的检测报告。</w:t>
      </w:r>
    </w:p>
    <w:p>
      <w:pPr>
        <w:pStyle w:val="2"/>
        <w:keepNext w:val="0"/>
        <w:keepLines w:val="0"/>
        <w:pageBreakBefore w:val="0"/>
        <w:widowControl w:val="0"/>
        <w:numPr>
          <w:numId w:val="0"/>
        </w:numPr>
        <w:kinsoku/>
        <w:wordWrap/>
        <w:overflowPunct/>
        <w:topLinePunct w:val="0"/>
        <w:autoSpaceDE/>
        <w:autoSpaceDN/>
        <w:bidi w:val="0"/>
        <w:adjustRightInd/>
        <w:snapToGrid/>
        <w:ind w:leftChars="200" w:firstLine="640" w:firstLineChars="200"/>
        <w:textAlignment w:val="auto"/>
        <w:rPr>
          <w:b/>
          <w:bCs/>
          <w:color w:val="333333"/>
          <w:sz w:val="32"/>
          <w:szCs w:val="32"/>
          <w:lang w:eastAsia="zh-CN"/>
        </w:rPr>
      </w:pPr>
      <w:r>
        <w:rPr>
          <w:rFonts w:hint="eastAsia" w:ascii="仿宋_GB2312" w:hAnsi="微软雅黑" w:eastAsia="仿宋_GB2312"/>
          <w:bCs/>
          <w:color w:val="333333"/>
          <w:sz w:val="32"/>
          <w:szCs w:val="32"/>
          <w:lang w:val="en-US" w:eastAsia="zh-CN"/>
        </w:rPr>
        <w:t>三、投诉人在质疑中提出的关于“为个别供应商串通厂家只为自己背书，致使其他供应商即便取得货源依然无法投标”的事项均属于个人的主观判断，缺乏有效的事实依据和证据材料佐证，该项目已经顺利开标，说明本项目有3家或者以上供应商的投标产品都可以满足招标文件技术参数要求，并没有对投标人实行差别待遇，限制潜在投标人参与投标的权利。</w:t>
      </w:r>
    </w:p>
    <w:p>
      <w:pPr>
        <w:pStyle w:val="2"/>
        <w:keepNext w:val="0"/>
        <w:keepLines w:val="0"/>
        <w:pageBreakBefore w:val="0"/>
        <w:widowControl w:val="0"/>
        <w:numPr>
          <w:numId w:val="0"/>
        </w:numPr>
        <w:kinsoku/>
        <w:wordWrap/>
        <w:overflowPunct/>
        <w:topLinePunct w:val="0"/>
        <w:autoSpaceDE/>
        <w:autoSpaceDN/>
        <w:bidi w:val="0"/>
        <w:adjustRightInd/>
        <w:snapToGrid/>
        <w:ind w:leftChars="200" w:firstLine="640" w:firstLineChars="200"/>
        <w:textAlignment w:val="auto"/>
        <w:rPr>
          <w:b/>
          <w:bCs/>
          <w:color w:val="333333"/>
          <w:sz w:val="32"/>
          <w:szCs w:val="32"/>
          <w:lang w:eastAsia="zh-CN"/>
        </w:rPr>
      </w:pPr>
      <w:r>
        <w:rPr>
          <w:rFonts w:hint="eastAsia" w:ascii="仿宋_GB2312" w:hAnsi="微软雅黑" w:eastAsia="仿宋_GB2312"/>
          <w:bCs/>
          <w:color w:val="333333"/>
          <w:sz w:val="32"/>
          <w:szCs w:val="32"/>
          <w:lang w:val="en-US" w:eastAsia="zh-CN"/>
        </w:rPr>
        <w:t>四、该招标文件的设置符合《中华人民共和国政府采购法》、《中华人民共和国招投标法实施条例》、《政府采购货物和服务招标投标管理办法》（财政部令第87号）规定，并没有设置特殊资格条件对投标人实行差别待遇或者歧视性待遇，以及不合理条件限制或者排斥潜在供应商，投诉人的投诉事项缺乏事实依据，投诉事项不成立。</w:t>
      </w:r>
    </w:p>
    <w:p>
      <w:pPr>
        <w:pStyle w:val="2"/>
        <w:numPr>
          <w:ilvl w:val="0"/>
          <w:numId w:val="0"/>
        </w:numPr>
        <w:ind w:left="642" w:leftChars="0"/>
        <w:rPr>
          <w:rFonts w:hint="eastAsia"/>
          <w:b/>
          <w:bCs/>
          <w:color w:val="333333"/>
          <w:sz w:val="32"/>
          <w:szCs w:val="32"/>
        </w:rPr>
      </w:pPr>
      <w:r>
        <w:rPr>
          <w:rFonts w:hint="eastAsia"/>
          <w:b/>
          <w:bCs/>
          <w:color w:val="333333"/>
          <w:sz w:val="32"/>
          <w:szCs w:val="32"/>
          <w:lang w:eastAsia="zh-CN"/>
        </w:rPr>
        <w:t>五、</w:t>
      </w:r>
      <w:r>
        <w:rPr>
          <w:rFonts w:hint="eastAsia"/>
          <w:b/>
          <w:bCs/>
          <w:color w:val="333333"/>
          <w:sz w:val="32"/>
          <w:szCs w:val="32"/>
        </w:rPr>
        <w:t>处理依据及结果</w:t>
      </w:r>
    </w:p>
    <w:p>
      <w:pPr>
        <w:pStyle w:val="2"/>
        <w:numPr>
          <w:ilvl w:val="0"/>
          <w:numId w:val="0"/>
        </w:numPr>
        <w:ind w:left="642" w:leftChars="0"/>
        <w:rPr>
          <w:rFonts w:hint="eastAsia" w:ascii="仿宋_GB2312" w:hAnsi="微软雅黑" w:eastAsia="仿宋_GB2312"/>
          <w:bCs/>
          <w:color w:val="333333"/>
          <w:sz w:val="32"/>
          <w:szCs w:val="32"/>
          <w:lang w:val="en-US" w:eastAsia="zh-CN"/>
        </w:rPr>
      </w:pPr>
      <w:r>
        <w:rPr>
          <w:rFonts w:hint="eastAsia" w:ascii="仿宋_GB2312" w:hAnsi="微软雅黑" w:eastAsia="仿宋_GB2312"/>
          <w:b/>
          <w:bCs/>
          <w:color w:val="333333"/>
          <w:sz w:val="32"/>
          <w:szCs w:val="32"/>
        </w:rPr>
        <w:t>经调查：</w:t>
      </w:r>
    </w:p>
    <w:p>
      <w:pPr>
        <w:pStyle w:val="2"/>
        <w:numPr>
          <w:numId w:val="0"/>
        </w:numPr>
        <w:ind w:firstLine="960" w:firstLineChars="300"/>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一、</w:t>
      </w:r>
      <w:r>
        <w:rPr>
          <w:rFonts w:hint="eastAsia" w:ascii="仿宋_GB2312" w:hAnsi="微软雅黑" w:eastAsia="仿宋_GB2312"/>
          <w:bCs/>
          <w:color w:val="333333"/>
          <w:sz w:val="32"/>
          <w:szCs w:val="32"/>
          <w:lang w:eastAsia="zh-CN"/>
        </w:rPr>
        <w:t>投诉人所称的是该项目的采购技术参数需求部分，满足技术参数需求须提供具有</w:t>
      </w:r>
      <w:r>
        <w:rPr>
          <w:rFonts w:hint="eastAsia" w:ascii="仿宋_GB2312" w:hAnsi="微软雅黑" w:eastAsia="仿宋_GB2312"/>
          <w:bCs/>
          <w:color w:val="333333"/>
          <w:sz w:val="32"/>
          <w:szCs w:val="32"/>
          <w:lang w:val="en-US" w:eastAsia="zh-CN"/>
        </w:rPr>
        <w:t>CMA或者CNAS标识的检测报告且盖有制造商公章的复印件佐证，采购人作为评审因素与合同履行有关，并没有作为资格要求，该采购需求符合《政府采购货物和服务招标投标管理办法》（财政部令第87号）第十一条和《政府采购需求管理办法》（财库【2021】22号）第六条、第七条规定，市场上满足该技术参数需求的任何品牌产品均可参加该项目采购活动，满足技术参数的检测报告加盖制造商公章符合《中华人民共和国政府采购法》第三条“政府采购应当遵循公开透明原则、公平竞争原则、公正原则和诚实守信原则”和第五条规定，不存在通过生产厂家授权、承诺、证明限定或者指定特定的专利、商标、品牌对投标人实行差别待遇情形。投诉人投诉事项不成立。</w:t>
      </w:r>
    </w:p>
    <w:p>
      <w:pPr>
        <w:pStyle w:val="2"/>
        <w:numPr>
          <w:ilvl w:val="0"/>
          <w:numId w:val="0"/>
        </w:numPr>
        <w:ind w:leftChars="200"/>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二、调查过程中：在采购人、代理机构、监督部门共同见证下，该项目投诉事项经过省级政府采购专家库专家论证，认定</w:t>
      </w:r>
      <w:bookmarkStart w:id="0" w:name="_GoBack"/>
      <w:bookmarkEnd w:id="0"/>
      <w:r>
        <w:rPr>
          <w:rFonts w:hint="eastAsia" w:ascii="仿宋_GB2312" w:hAnsi="微软雅黑" w:eastAsia="仿宋_GB2312"/>
          <w:bCs/>
          <w:color w:val="333333"/>
          <w:sz w:val="32"/>
          <w:szCs w:val="32"/>
          <w:lang w:eastAsia="zh-CN"/>
        </w:rPr>
        <w:t>不存在</w:t>
      </w:r>
      <w:r>
        <w:rPr>
          <w:rFonts w:hint="eastAsia" w:ascii="仿宋_GB2312" w:hAnsi="微软雅黑" w:eastAsia="仿宋_GB2312"/>
          <w:bCs/>
          <w:color w:val="333333"/>
          <w:sz w:val="32"/>
          <w:szCs w:val="32"/>
          <w:lang w:val="en-US" w:eastAsia="zh-CN"/>
        </w:rPr>
        <w:t>变相的通过生产厂家授权、承诺、证明限定或者指定的专利、商标、品牌对投标人实行差别待遇。</w:t>
      </w:r>
    </w:p>
    <w:p>
      <w:pPr>
        <w:pStyle w:val="2"/>
        <w:numPr>
          <w:ilvl w:val="0"/>
          <w:numId w:val="0"/>
        </w:numPr>
        <w:ind w:leftChars="200"/>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以上事实有下列证据为证：</w:t>
      </w:r>
    </w:p>
    <w:p>
      <w:pPr>
        <w:widowControl/>
        <w:numPr>
          <w:ilvl w:val="0"/>
          <w:numId w:val="1"/>
        </w:numPr>
        <w:spacing w:line="640" w:lineRule="exact"/>
        <w:ind w:firstLine="627"/>
        <w:jc w:val="left"/>
        <w:rPr>
          <w:rFonts w:hint="eastAsia" w:ascii="仿宋_GB2312" w:hAnsi="仿宋" w:eastAsia="仿宋_GB2312"/>
          <w:sz w:val="32"/>
          <w:szCs w:val="32"/>
          <w:lang w:eastAsia="zh-CN"/>
        </w:rPr>
      </w:pPr>
      <w:r>
        <w:rPr>
          <w:rFonts w:hint="eastAsia" w:ascii="仿宋_GB2312" w:hAnsi="微软雅黑" w:eastAsia="仿宋_GB2312"/>
          <w:bCs/>
          <w:color w:val="333333"/>
          <w:sz w:val="32"/>
          <w:szCs w:val="32"/>
          <w:lang w:eastAsia="zh-CN"/>
        </w:rPr>
        <w:t>抚州市东乡区</w:t>
      </w:r>
      <w:r>
        <w:rPr>
          <w:rFonts w:hint="eastAsia" w:ascii="仿宋_GB2312" w:hAnsi="微软雅黑" w:eastAsia="仿宋_GB2312"/>
          <w:bCs/>
          <w:color w:val="333333"/>
          <w:sz w:val="32"/>
          <w:szCs w:val="32"/>
          <w:lang w:val="en-US" w:eastAsia="zh-CN"/>
        </w:rPr>
        <w:t>第二中学</w:t>
      </w:r>
      <w:r>
        <w:rPr>
          <w:rFonts w:hint="eastAsia" w:ascii="仿宋_GB2312" w:hAnsi="微软雅黑" w:eastAsia="仿宋_GB2312"/>
          <w:bCs/>
          <w:color w:val="333333"/>
          <w:sz w:val="32"/>
          <w:szCs w:val="32"/>
          <w:lang w:eastAsia="zh-CN"/>
        </w:rPr>
        <w:t>和</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仿宋" w:eastAsia="仿宋_GB2312"/>
          <w:sz w:val="32"/>
          <w:szCs w:val="32"/>
          <w:lang w:eastAsia="zh-CN"/>
        </w:rPr>
        <w:t>的《投诉答复书》</w:t>
      </w:r>
    </w:p>
    <w:p>
      <w:pPr>
        <w:widowControl/>
        <w:numPr>
          <w:ilvl w:val="0"/>
          <w:numId w:val="1"/>
        </w:numPr>
        <w:spacing w:line="640" w:lineRule="exact"/>
        <w:ind w:left="0" w:leftChars="0" w:firstLine="627" w:firstLineChars="0"/>
        <w:jc w:val="left"/>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关于本项目投诉答复专家认证意见表</w:t>
      </w:r>
    </w:p>
    <w:p>
      <w:pPr>
        <w:widowControl/>
        <w:numPr>
          <w:ilvl w:val="0"/>
          <w:numId w:val="1"/>
        </w:numPr>
        <w:spacing w:line="640" w:lineRule="exact"/>
        <w:ind w:left="0" w:leftChars="0" w:firstLine="627" w:firstLineChars="0"/>
        <w:jc w:val="left"/>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本项目</w:t>
      </w:r>
      <w:r>
        <w:rPr>
          <w:rFonts w:hint="eastAsia" w:ascii="仿宋_GB2312" w:hAnsi="微软雅黑" w:eastAsia="仿宋_GB2312"/>
          <w:bCs/>
          <w:color w:val="333333"/>
          <w:sz w:val="32"/>
          <w:szCs w:val="32"/>
          <w:lang w:val="en-US" w:eastAsia="zh-CN"/>
        </w:rPr>
        <w:t>投诉人的投诉书和</w:t>
      </w:r>
      <w:r>
        <w:rPr>
          <w:rFonts w:hint="eastAsia" w:ascii="仿宋_GB2312" w:hAnsi="微软雅黑" w:eastAsia="仿宋_GB2312"/>
          <w:bCs/>
          <w:color w:val="333333"/>
          <w:sz w:val="32"/>
          <w:szCs w:val="32"/>
          <w:lang w:eastAsia="zh-CN"/>
        </w:rPr>
        <w:t>招标文件</w:t>
      </w:r>
    </w:p>
    <w:p>
      <w:pPr>
        <w:widowControl/>
        <w:numPr>
          <w:ilvl w:val="0"/>
          <w:numId w:val="0"/>
        </w:numPr>
        <w:spacing w:line="640" w:lineRule="exact"/>
        <w:ind w:firstLine="960" w:firstLineChars="300"/>
        <w:jc w:val="left"/>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根据《政府采购质疑和投诉办法》（财政部令第94号）第二十九条“投诉处理过程中，有下列情形之一的，财政部门应当驳回投诉：......（二）投诉事项缺乏事实依据，投诉事项不成立”规定，本机关对投诉人的投诉请求不予支持，驳回投诉。</w:t>
      </w:r>
    </w:p>
    <w:p>
      <w:pPr>
        <w:widowControl/>
        <w:numPr>
          <w:ilvl w:val="0"/>
          <w:numId w:val="2"/>
        </w:numPr>
        <w:spacing w:line="640" w:lineRule="exact"/>
        <w:ind w:left="627" w:leftChars="0"/>
        <w:jc w:val="left"/>
        <w:rPr>
          <w:rFonts w:hint="eastAsia"/>
          <w:b/>
          <w:bCs/>
          <w:color w:val="333333"/>
          <w:sz w:val="32"/>
          <w:szCs w:val="32"/>
        </w:rPr>
      </w:pPr>
      <w:r>
        <w:rPr>
          <w:rFonts w:hint="eastAsia"/>
          <w:b/>
          <w:bCs/>
          <w:color w:val="333333"/>
          <w:sz w:val="32"/>
          <w:szCs w:val="32"/>
        </w:rPr>
        <w:t>其他补充事宜</w:t>
      </w:r>
    </w:p>
    <w:p>
      <w:pPr>
        <w:widowControl/>
        <w:numPr>
          <w:ilvl w:val="0"/>
          <w:numId w:val="0"/>
        </w:numPr>
        <w:spacing w:line="640" w:lineRule="exact"/>
        <w:ind w:firstLine="960" w:firstLineChars="300"/>
        <w:jc w:val="left"/>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如投诉人不服本决定，可以在收到本处理决定书之日起60日内向抚州市东乡区人民政府或者抚州市财政局申请行政复议，也可在六个月内向人民法院提起行政诉讼。</w:t>
      </w:r>
    </w:p>
    <w:p>
      <w:pPr>
        <w:pStyle w:val="34"/>
        <w:spacing w:before="100" w:beforeAutospacing="1" w:after="280" w:line="640" w:lineRule="exact"/>
        <w:ind w:firstLine="640" w:firstLineChars="200"/>
        <w:contextualSpacing/>
        <w:jc w:val="both"/>
        <w:rPr>
          <w:rFonts w:ascii="仿宋_GB2312" w:hAnsi="微软雅黑" w:eastAsia="仿宋_GB2312"/>
          <w:bCs/>
          <w:color w:val="333333"/>
          <w:sz w:val="32"/>
          <w:szCs w:val="32"/>
          <w:lang w:eastAsia="zh-CN"/>
        </w:rPr>
      </w:pPr>
    </w:p>
    <w:p>
      <w:pPr>
        <w:widowControl/>
        <w:spacing w:line="640" w:lineRule="exact"/>
        <w:ind w:firstLine="480"/>
        <w:jc w:val="left"/>
        <w:rPr>
          <w:rFonts w:ascii="仿宋" w:hAnsi="仿宋" w:eastAsia="仿宋" w:cs="仿宋"/>
          <w:sz w:val="32"/>
          <w:szCs w:val="32"/>
        </w:rPr>
      </w:pPr>
      <w:r>
        <w:rPr>
          <w:rFonts w:hint="eastAsia" w:ascii="仿宋" w:hAnsi="仿宋" w:eastAsia="仿宋" w:cs="仿宋"/>
          <w:sz w:val="32"/>
          <w:szCs w:val="32"/>
        </w:rPr>
        <w:t xml:space="preserve">                    </w:t>
      </w:r>
    </w:p>
    <w:p>
      <w:pPr>
        <w:widowControl/>
        <w:spacing w:line="640" w:lineRule="exact"/>
        <w:ind w:firstLine="480"/>
        <w:jc w:val="left"/>
        <w:rPr>
          <w:rFonts w:ascii="仿宋" w:hAnsi="仿宋" w:eastAsia="仿宋" w:cs="仿宋"/>
          <w:sz w:val="32"/>
          <w:szCs w:val="32"/>
        </w:rPr>
      </w:pPr>
      <w:r>
        <w:rPr>
          <w:rFonts w:hint="eastAsia" w:ascii="仿宋" w:hAnsi="仿宋" w:eastAsia="仿宋" w:cs="仿宋"/>
          <w:sz w:val="32"/>
          <w:szCs w:val="32"/>
        </w:rPr>
        <w:t xml:space="preserve">                             抚州市东乡区财政局</w:t>
      </w:r>
    </w:p>
    <w:p>
      <w:pPr>
        <w:widowControl/>
        <w:spacing w:line="640" w:lineRule="exact"/>
        <w:ind w:firstLine="480"/>
        <w:jc w:val="left"/>
        <w:rPr>
          <w:rFonts w:ascii="微软雅黑" w:hAnsi="微软雅黑" w:eastAsia="微软雅黑" w:cs="宋体"/>
          <w:color w:val="333333"/>
          <w:kern w:val="0"/>
          <w:sz w:val="21"/>
          <w:szCs w:val="21"/>
        </w:r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9</w:t>
      </w:r>
      <w:r>
        <w:rPr>
          <w:rFonts w:hint="eastAsia" w:ascii="仿宋" w:hAnsi="仿宋" w:eastAsia="仿宋" w:cs="仿宋"/>
          <w:sz w:val="32"/>
          <w:szCs w:val="32"/>
        </w:rPr>
        <w:t>月6日</w:t>
      </w:r>
      <w:r>
        <w:rPr>
          <w:rFonts w:hint="eastAsia" w:ascii="仿宋_GB2312" w:hAnsi="微软雅黑" w:eastAsia="仿宋_GB2312" w:cs="宋体"/>
          <w:color w:val="000000"/>
          <w:kern w:val="0"/>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A05E7"/>
    <w:multiLevelType w:val="singleLevel"/>
    <w:tmpl w:val="E28A05E7"/>
    <w:lvl w:ilvl="0" w:tentative="0">
      <w:start w:val="1"/>
      <w:numFmt w:val="decimal"/>
      <w:suff w:val="nothing"/>
      <w:lvlText w:val="%1、"/>
      <w:lvlJc w:val="left"/>
    </w:lvl>
  </w:abstractNum>
  <w:abstractNum w:abstractNumId="1">
    <w:nsid w:val="7C63A445"/>
    <w:multiLevelType w:val="singleLevel"/>
    <w:tmpl w:val="7C63A44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DA1975"/>
    <w:rsid w:val="00005316"/>
    <w:rsid w:val="00012BB9"/>
    <w:rsid w:val="0001774D"/>
    <w:rsid w:val="00021073"/>
    <w:rsid w:val="00027C14"/>
    <w:rsid w:val="00032F97"/>
    <w:rsid w:val="00033EA0"/>
    <w:rsid w:val="000515BF"/>
    <w:rsid w:val="000532DA"/>
    <w:rsid w:val="00060BED"/>
    <w:rsid w:val="00061FEE"/>
    <w:rsid w:val="000758B7"/>
    <w:rsid w:val="00075979"/>
    <w:rsid w:val="0007734B"/>
    <w:rsid w:val="000855A3"/>
    <w:rsid w:val="000874E7"/>
    <w:rsid w:val="00087D29"/>
    <w:rsid w:val="000A7A9D"/>
    <w:rsid w:val="000C2E9B"/>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37643"/>
    <w:rsid w:val="0014576B"/>
    <w:rsid w:val="0014750B"/>
    <w:rsid w:val="00150679"/>
    <w:rsid w:val="0015771D"/>
    <w:rsid w:val="00157CC3"/>
    <w:rsid w:val="00161D22"/>
    <w:rsid w:val="001638DD"/>
    <w:rsid w:val="00173124"/>
    <w:rsid w:val="001830A9"/>
    <w:rsid w:val="001905FA"/>
    <w:rsid w:val="0019442F"/>
    <w:rsid w:val="001B3443"/>
    <w:rsid w:val="001B629B"/>
    <w:rsid w:val="001C0B7F"/>
    <w:rsid w:val="001C3589"/>
    <w:rsid w:val="001D7125"/>
    <w:rsid w:val="001E2F74"/>
    <w:rsid w:val="001E6FAC"/>
    <w:rsid w:val="001E758C"/>
    <w:rsid w:val="001F509E"/>
    <w:rsid w:val="001F558B"/>
    <w:rsid w:val="00200893"/>
    <w:rsid w:val="00203E61"/>
    <w:rsid w:val="0020632C"/>
    <w:rsid w:val="0021208A"/>
    <w:rsid w:val="0022619F"/>
    <w:rsid w:val="00233BDF"/>
    <w:rsid w:val="00233E0C"/>
    <w:rsid w:val="0023691F"/>
    <w:rsid w:val="0023749E"/>
    <w:rsid w:val="0024142B"/>
    <w:rsid w:val="00241E3C"/>
    <w:rsid w:val="0024470A"/>
    <w:rsid w:val="0024521C"/>
    <w:rsid w:val="00246D6B"/>
    <w:rsid w:val="00255372"/>
    <w:rsid w:val="002634D3"/>
    <w:rsid w:val="00264151"/>
    <w:rsid w:val="00266ABE"/>
    <w:rsid w:val="002707AD"/>
    <w:rsid w:val="002864E0"/>
    <w:rsid w:val="002905F2"/>
    <w:rsid w:val="002965F2"/>
    <w:rsid w:val="002A2CA4"/>
    <w:rsid w:val="002A3D73"/>
    <w:rsid w:val="002A6D52"/>
    <w:rsid w:val="002B25F8"/>
    <w:rsid w:val="002B6556"/>
    <w:rsid w:val="002C117C"/>
    <w:rsid w:val="002C33F7"/>
    <w:rsid w:val="002D246A"/>
    <w:rsid w:val="002F0A4A"/>
    <w:rsid w:val="002F0AA5"/>
    <w:rsid w:val="002F52D6"/>
    <w:rsid w:val="002F6722"/>
    <w:rsid w:val="002F7599"/>
    <w:rsid w:val="00302D6D"/>
    <w:rsid w:val="00302EE2"/>
    <w:rsid w:val="00315AF3"/>
    <w:rsid w:val="0031771E"/>
    <w:rsid w:val="0032033C"/>
    <w:rsid w:val="003241E3"/>
    <w:rsid w:val="00325953"/>
    <w:rsid w:val="00337E53"/>
    <w:rsid w:val="003500D3"/>
    <w:rsid w:val="003566D7"/>
    <w:rsid w:val="00361058"/>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480D"/>
    <w:rsid w:val="00425589"/>
    <w:rsid w:val="00433A03"/>
    <w:rsid w:val="00442D5B"/>
    <w:rsid w:val="00451FD5"/>
    <w:rsid w:val="004524BC"/>
    <w:rsid w:val="00452A3D"/>
    <w:rsid w:val="0045645D"/>
    <w:rsid w:val="004612A1"/>
    <w:rsid w:val="00462101"/>
    <w:rsid w:val="004632D2"/>
    <w:rsid w:val="00471B5D"/>
    <w:rsid w:val="00485D66"/>
    <w:rsid w:val="004876EA"/>
    <w:rsid w:val="00492F08"/>
    <w:rsid w:val="004A1960"/>
    <w:rsid w:val="004A4756"/>
    <w:rsid w:val="004C14E8"/>
    <w:rsid w:val="004C2806"/>
    <w:rsid w:val="004D6CA0"/>
    <w:rsid w:val="004D7A11"/>
    <w:rsid w:val="004E24F8"/>
    <w:rsid w:val="004E58EB"/>
    <w:rsid w:val="004F0D86"/>
    <w:rsid w:val="004F5595"/>
    <w:rsid w:val="004F6362"/>
    <w:rsid w:val="004F6967"/>
    <w:rsid w:val="005038D2"/>
    <w:rsid w:val="00505F02"/>
    <w:rsid w:val="005070C7"/>
    <w:rsid w:val="00511CB1"/>
    <w:rsid w:val="005421A1"/>
    <w:rsid w:val="00544471"/>
    <w:rsid w:val="00554BE4"/>
    <w:rsid w:val="00562710"/>
    <w:rsid w:val="00562B8F"/>
    <w:rsid w:val="00580E7B"/>
    <w:rsid w:val="00581B35"/>
    <w:rsid w:val="00582B72"/>
    <w:rsid w:val="005849C9"/>
    <w:rsid w:val="005907E1"/>
    <w:rsid w:val="00592D38"/>
    <w:rsid w:val="00596EBE"/>
    <w:rsid w:val="005A5850"/>
    <w:rsid w:val="005A6090"/>
    <w:rsid w:val="005A7E96"/>
    <w:rsid w:val="005B1F8F"/>
    <w:rsid w:val="005D057A"/>
    <w:rsid w:val="005E106B"/>
    <w:rsid w:val="005F1365"/>
    <w:rsid w:val="005F7FBD"/>
    <w:rsid w:val="00604B0D"/>
    <w:rsid w:val="00607F7B"/>
    <w:rsid w:val="006124DE"/>
    <w:rsid w:val="0061474E"/>
    <w:rsid w:val="0061762E"/>
    <w:rsid w:val="00617C11"/>
    <w:rsid w:val="006212DF"/>
    <w:rsid w:val="00637888"/>
    <w:rsid w:val="00645575"/>
    <w:rsid w:val="0065231D"/>
    <w:rsid w:val="006561E2"/>
    <w:rsid w:val="0066575D"/>
    <w:rsid w:val="006663EB"/>
    <w:rsid w:val="00672B54"/>
    <w:rsid w:val="00677EDD"/>
    <w:rsid w:val="00687B1A"/>
    <w:rsid w:val="006914E1"/>
    <w:rsid w:val="006972A7"/>
    <w:rsid w:val="006B1804"/>
    <w:rsid w:val="006C6B48"/>
    <w:rsid w:val="006E14D1"/>
    <w:rsid w:val="006E1B18"/>
    <w:rsid w:val="006E2FBA"/>
    <w:rsid w:val="006F38A7"/>
    <w:rsid w:val="007044EA"/>
    <w:rsid w:val="007209D8"/>
    <w:rsid w:val="00721FB2"/>
    <w:rsid w:val="007225E6"/>
    <w:rsid w:val="00730B60"/>
    <w:rsid w:val="00732A5D"/>
    <w:rsid w:val="007334EE"/>
    <w:rsid w:val="00737338"/>
    <w:rsid w:val="0074022E"/>
    <w:rsid w:val="00741016"/>
    <w:rsid w:val="00741AC9"/>
    <w:rsid w:val="00742DDF"/>
    <w:rsid w:val="00747EDD"/>
    <w:rsid w:val="00761DF9"/>
    <w:rsid w:val="00782D19"/>
    <w:rsid w:val="00784248"/>
    <w:rsid w:val="00796336"/>
    <w:rsid w:val="00797861"/>
    <w:rsid w:val="007A64E4"/>
    <w:rsid w:val="007B239F"/>
    <w:rsid w:val="007B2412"/>
    <w:rsid w:val="007B67C7"/>
    <w:rsid w:val="007B79D4"/>
    <w:rsid w:val="007C75F0"/>
    <w:rsid w:val="007E08D0"/>
    <w:rsid w:val="007E5DB2"/>
    <w:rsid w:val="007E6534"/>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80B13"/>
    <w:rsid w:val="00892ABF"/>
    <w:rsid w:val="00894C84"/>
    <w:rsid w:val="008A3F95"/>
    <w:rsid w:val="008A7AB5"/>
    <w:rsid w:val="008B14A2"/>
    <w:rsid w:val="008D62B6"/>
    <w:rsid w:val="008E4D79"/>
    <w:rsid w:val="008E7299"/>
    <w:rsid w:val="008E72C5"/>
    <w:rsid w:val="00906660"/>
    <w:rsid w:val="00911733"/>
    <w:rsid w:val="00913D28"/>
    <w:rsid w:val="009179BE"/>
    <w:rsid w:val="009231E8"/>
    <w:rsid w:val="00927DA6"/>
    <w:rsid w:val="0093311B"/>
    <w:rsid w:val="0094209C"/>
    <w:rsid w:val="009422B6"/>
    <w:rsid w:val="00946CAE"/>
    <w:rsid w:val="00947C97"/>
    <w:rsid w:val="00956119"/>
    <w:rsid w:val="009761F4"/>
    <w:rsid w:val="00976E62"/>
    <w:rsid w:val="0098165D"/>
    <w:rsid w:val="00984C34"/>
    <w:rsid w:val="00990581"/>
    <w:rsid w:val="0099148A"/>
    <w:rsid w:val="009A138B"/>
    <w:rsid w:val="009B7524"/>
    <w:rsid w:val="009B7F20"/>
    <w:rsid w:val="009D2A93"/>
    <w:rsid w:val="009D3B96"/>
    <w:rsid w:val="009D6058"/>
    <w:rsid w:val="009D654A"/>
    <w:rsid w:val="009D7D82"/>
    <w:rsid w:val="009E2865"/>
    <w:rsid w:val="009E4E34"/>
    <w:rsid w:val="00A03028"/>
    <w:rsid w:val="00A06E8D"/>
    <w:rsid w:val="00A1737D"/>
    <w:rsid w:val="00A17757"/>
    <w:rsid w:val="00A2356E"/>
    <w:rsid w:val="00A400C7"/>
    <w:rsid w:val="00A42CE0"/>
    <w:rsid w:val="00A45FDC"/>
    <w:rsid w:val="00A46899"/>
    <w:rsid w:val="00A544A9"/>
    <w:rsid w:val="00A60D71"/>
    <w:rsid w:val="00A62088"/>
    <w:rsid w:val="00A6236B"/>
    <w:rsid w:val="00A8481F"/>
    <w:rsid w:val="00A92389"/>
    <w:rsid w:val="00AA4B84"/>
    <w:rsid w:val="00AA61BE"/>
    <w:rsid w:val="00AA7214"/>
    <w:rsid w:val="00AB4EEE"/>
    <w:rsid w:val="00AB7813"/>
    <w:rsid w:val="00AC2E4E"/>
    <w:rsid w:val="00AC2EC8"/>
    <w:rsid w:val="00AC4549"/>
    <w:rsid w:val="00AD01B0"/>
    <w:rsid w:val="00AD454D"/>
    <w:rsid w:val="00AE0197"/>
    <w:rsid w:val="00AF3E79"/>
    <w:rsid w:val="00AF487B"/>
    <w:rsid w:val="00AF691A"/>
    <w:rsid w:val="00B078FE"/>
    <w:rsid w:val="00B14835"/>
    <w:rsid w:val="00B1616B"/>
    <w:rsid w:val="00B22669"/>
    <w:rsid w:val="00B22FB0"/>
    <w:rsid w:val="00B265A3"/>
    <w:rsid w:val="00B32A4C"/>
    <w:rsid w:val="00B3777C"/>
    <w:rsid w:val="00B52832"/>
    <w:rsid w:val="00B5371C"/>
    <w:rsid w:val="00B55B04"/>
    <w:rsid w:val="00B67EA0"/>
    <w:rsid w:val="00B77E6A"/>
    <w:rsid w:val="00B92073"/>
    <w:rsid w:val="00B96236"/>
    <w:rsid w:val="00B967FF"/>
    <w:rsid w:val="00BA785B"/>
    <w:rsid w:val="00BB10F2"/>
    <w:rsid w:val="00BC1C77"/>
    <w:rsid w:val="00BC25C3"/>
    <w:rsid w:val="00BD08DC"/>
    <w:rsid w:val="00BD74C8"/>
    <w:rsid w:val="00BD7F63"/>
    <w:rsid w:val="00BE13A5"/>
    <w:rsid w:val="00BE1CC7"/>
    <w:rsid w:val="00BE42C5"/>
    <w:rsid w:val="00BF51EF"/>
    <w:rsid w:val="00C053AF"/>
    <w:rsid w:val="00C14AF5"/>
    <w:rsid w:val="00C21BD4"/>
    <w:rsid w:val="00C44D30"/>
    <w:rsid w:val="00C6067C"/>
    <w:rsid w:val="00C60B1B"/>
    <w:rsid w:val="00C617C9"/>
    <w:rsid w:val="00C62C60"/>
    <w:rsid w:val="00C62F08"/>
    <w:rsid w:val="00C63B87"/>
    <w:rsid w:val="00C66C1C"/>
    <w:rsid w:val="00C70218"/>
    <w:rsid w:val="00C73BDA"/>
    <w:rsid w:val="00C741F8"/>
    <w:rsid w:val="00C960B1"/>
    <w:rsid w:val="00CA39BF"/>
    <w:rsid w:val="00CA51F9"/>
    <w:rsid w:val="00CA7003"/>
    <w:rsid w:val="00CB00C0"/>
    <w:rsid w:val="00CB2A9E"/>
    <w:rsid w:val="00CB65FF"/>
    <w:rsid w:val="00CC0225"/>
    <w:rsid w:val="00CC1D54"/>
    <w:rsid w:val="00CC35B1"/>
    <w:rsid w:val="00CC71DE"/>
    <w:rsid w:val="00CF22DD"/>
    <w:rsid w:val="00CF272D"/>
    <w:rsid w:val="00CF3C97"/>
    <w:rsid w:val="00CF425B"/>
    <w:rsid w:val="00CF617A"/>
    <w:rsid w:val="00D027B8"/>
    <w:rsid w:val="00D065C9"/>
    <w:rsid w:val="00D1472A"/>
    <w:rsid w:val="00D14FB0"/>
    <w:rsid w:val="00D1615B"/>
    <w:rsid w:val="00D2134F"/>
    <w:rsid w:val="00D26F9A"/>
    <w:rsid w:val="00D2749F"/>
    <w:rsid w:val="00D27FD8"/>
    <w:rsid w:val="00D32AA7"/>
    <w:rsid w:val="00D35F5D"/>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9798F"/>
    <w:rsid w:val="00DA1975"/>
    <w:rsid w:val="00DB2716"/>
    <w:rsid w:val="00DB5702"/>
    <w:rsid w:val="00DB74ED"/>
    <w:rsid w:val="00DB7C7A"/>
    <w:rsid w:val="00DC382D"/>
    <w:rsid w:val="00DC44D7"/>
    <w:rsid w:val="00DD0D5B"/>
    <w:rsid w:val="00DD1319"/>
    <w:rsid w:val="00DE0227"/>
    <w:rsid w:val="00DE2534"/>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51CFA"/>
    <w:rsid w:val="00E5362A"/>
    <w:rsid w:val="00E6184D"/>
    <w:rsid w:val="00E77DDD"/>
    <w:rsid w:val="00E81080"/>
    <w:rsid w:val="00E846CB"/>
    <w:rsid w:val="00E90CE2"/>
    <w:rsid w:val="00E97EAF"/>
    <w:rsid w:val="00EA3C49"/>
    <w:rsid w:val="00EB45F0"/>
    <w:rsid w:val="00EB4F4B"/>
    <w:rsid w:val="00EB6477"/>
    <w:rsid w:val="00ED1883"/>
    <w:rsid w:val="00ED1BFB"/>
    <w:rsid w:val="00EE1639"/>
    <w:rsid w:val="00EE4B7C"/>
    <w:rsid w:val="00F01553"/>
    <w:rsid w:val="00F03979"/>
    <w:rsid w:val="00F05E90"/>
    <w:rsid w:val="00F06A5C"/>
    <w:rsid w:val="00F12D73"/>
    <w:rsid w:val="00F14755"/>
    <w:rsid w:val="00F23B45"/>
    <w:rsid w:val="00F323C2"/>
    <w:rsid w:val="00F463FC"/>
    <w:rsid w:val="00F554C0"/>
    <w:rsid w:val="00F719F1"/>
    <w:rsid w:val="00F74B2B"/>
    <w:rsid w:val="00F877E4"/>
    <w:rsid w:val="00F908A0"/>
    <w:rsid w:val="00FA71D4"/>
    <w:rsid w:val="00FB3E14"/>
    <w:rsid w:val="00FC4F8E"/>
    <w:rsid w:val="00FD297B"/>
    <w:rsid w:val="00FD38BD"/>
    <w:rsid w:val="00FE1922"/>
    <w:rsid w:val="00FF3E6C"/>
    <w:rsid w:val="01301A5C"/>
    <w:rsid w:val="01A13C84"/>
    <w:rsid w:val="04492BED"/>
    <w:rsid w:val="04C2712A"/>
    <w:rsid w:val="05BE08B7"/>
    <w:rsid w:val="08170749"/>
    <w:rsid w:val="0B3172BD"/>
    <w:rsid w:val="0EED112E"/>
    <w:rsid w:val="0F7B166F"/>
    <w:rsid w:val="12C50E8C"/>
    <w:rsid w:val="141A36A3"/>
    <w:rsid w:val="152C24CF"/>
    <w:rsid w:val="152F6116"/>
    <w:rsid w:val="154E4D62"/>
    <w:rsid w:val="15CB29D3"/>
    <w:rsid w:val="19C74555"/>
    <w:rsid w:val="202D76D2"/>
    <w:rsid w:val="20596611"/>
    <w:rsid w:val="205A7675"/>
    <w:rsid w:val="25592269"/>
    <w:rsid w:val="28A72113"/>
    <w:rsid w:val="2DDD6E64"/>
    <w:rsid w:val="33817A47"/>
    <w:rsid w:val="34B53228"/>
    <w:rsid w:val="39534294"/>
    <w:rsid w:val="39584898"/>
    <w:rsid w:val="3B075071"/>
    <w:rsid w:val="3B7E4783"/>
    <w:rsid w:val="3D1D6C1B"/>
    <w:rsid w:val="420D12E4"/>
    <w:rsid w:val="42CF7A46"/>
    <w:rsid w:val="43FF5284"/>
    <w:rsid w:val="457938AD"/>
    <w:rsid w:val="46DB25A4"/>
    <w:rsid w:val="48B12869"/>
    <w:rsid w:val="4C14435B"/>
    <w:rsid w:val="4D3D462F"/>
    <w:rsid w:val="4E130C49"/>
    <w:rsid w:val="4E4E0B77"/>
    <w:rsid w:val="507A0FCF"/>
    <w:rsid w:val="529D23CD"/>
    <w:rsid w:val="567A6BCB"/>
    <w:rsid w:val="57601B54"/>
    <w:rsid w:val="5BA90CE4"/>
    <w:rsid w:val="5BB1247D"/>
    <w:rsid w:val="5C614FF5"/>
    <w:rsid w:val="5D290153"/>
    <w:rsid w:val="5DBC7D30"/>
    <w:rsid w:val="5F057D52"/>
    <w:rsid w:val="605816A7"/>
    <w:rsid w:val="6145660D"/>
    <w:rsid w:val="623E0D13"/>
    <w:rsid w:val="6273366E"/>
    <w:rsid w:val="6759053C"/>
    <w:rsid w:val="69E20E65"/>
    <w:rsid w:val="6C8623F2"/>
    <w:rsid w:val="6CAF4326"/>
    <w:rsid w:val="6CE24404"/>
    <w:rsid w:val="6D64751B"/>
    <w:rsid w:val="6EB04D47"/>
    <w:rsid w:val="708A5653"/>
    <w:rsid w:val="71970A8C"/>
    <w:rsid w:val="736F13BF"/>
    <w:rsid w:val="773E4C83"/>
    <w:rsid w:val="77952711"/>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right"/>
    </w:pPr>
    <w:rPr>
      <w:rFonts w:ascii="宋体" w:hAnsi="宋体" w:eastAsia="宋体" w:cs="Times New Roman"/>
      <w:kern w:val="2"/>
      <w:sz w:val="28"/>
      <w:szCs w:val="28"/>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5">
    <w:name w:val="Plain Text"/>
    <w:basedOn w:val="1"/>
    <w:link w:val="28"/>
    <w:qFormat/>
    <w:uiPriority w:val="0"/>
    <w:pPr>
      <w:jc w:val="both"/>
    </w:pPr>
    <w:rPr>
      <w:rFonts w:hAnsi="Courier New" w:cs="Courier New"/>
      <w:sz w:val="21"/>
      <w:szCs w:val="21"/>
    </w:rPr>
  </w:style>
  <w:style w:type="paragraph" w:styleId="6">
    <w:name w:val="Balloon Text"/>
    <w:basedOn w:val="1"/>
    <w:link w:val="30"/>
    <w:qFormat/>
    <w:uiPriority w:val="0"/>
    <w:rPr>
      <w:sz w:val="18"/>
      <w:szCs w:val="18"/>
    </w:rPr>
  </w:style>
  <w:style w:type="paragraph" w:styleId="7">
    <w:name w:val="HTML Preformatted"/>
    <w:basedOn w:val="1"/>
    <w:link w:val="32"/>
    <w:qFormat/>
    <w:uiPriority w:val="0"/>
    <w:pPr>
      <w:jc w:val="left"/>
    </w:pPr>
    <w:rPr>
      <w:kern w:val="0"/>
      <w:sz w:val="24"/>
      <w:szCs w:val="24"/>
    </w:rPr>
  </w:style>
  <w:style w:type="paragraph" w:styleId="8">
    <w:name w:val="Normal (Web)"/>
    <w:basedOn w:val="1"/>
    <w:qFormat/>
    <w:uiPriority w:val="99"/>
    <w:pPr>
      <w:jc w:val="left"/>
    </w:pPr>
    <w:rPr>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22"/>
  </w:style>
  <w:style w:type="character" w:styleId="13">
    <w:name w:val="FollowedHyperlink"/>
    <w:qFormat/>
    <w:uiPriority w:val="0"/>
    <w:rPr>
      <w:color w:val="800080"/>
      <w:u w:val="none"/>
    </w:rPr>
  </w:style>
  <w:style w:type="character" w:styleId="14">
    <w:name w:val="Emphasis"/>
    <w:qFormat/>
    <w:uiPriority w:val="0"/>
  </w:style>
  <w:style w:type="character" w:styleId="15">
    <w:name w:val="HTML Definition"/>
    <w:qFormat/>
    <w:uiPriority w:val="0"/>
  </w:style>
  <w:style w:type="character" w:styleId="16">
    <w:name w:val="HTML Typewriter"/>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0000FF"/>
      <w:u w:val="none"/>
    </w:rPr>
  </w:style>
  <w:style w:type="character" w:styleId="20">
    <w:name w:val="HTML Code"/>
    <w:qFormat/>
    <w:uiPriority w:val="0"/>
    <w:rPr>
      <w:rFonts w:hint="default" w:ascii="monospace" w:hAnsi="monospace" w:eastAsia="monospace" w:cs="monospace"/>
      <w:sz w:val="20"/>
    </w:rPr>
  </w:style>
  <w:style w:type="character" w:styleId="21">
    <w:name w:val="HTML Cite"/>
    <w:qFormat/>
    <w:uiPriority w:val="0"/>
  </w:style>
  <w:style w:type="character" w:styleId="22">
    <w:name w:val="HTML Keyboard"/>
    <w:qFormat/>
    <w:uiPriority w:val="0"/>
    <w:rPr>
      <w:rFonts w:ascii="monospace" w:hAnsi="monospace" w:eastAsia="monospace" w:cs="monospace"/>
      <w:sz w:val="20"/>
    </w:rPr>
  </w:style>
  <w:style w:type="character" w:styleId="23">
    <w:name w:val="HTML Sample"/>
    <w:qFormat/>
    <w:uiPriority w:val="0"/>
    <w:rPr>
      <w:rFonts w:hint="default" w:ascii="monospace" w:hAnsi="monospace" w:eastAsia="monospace" w:cs="monospace"/>
    </w:rPr>
  </w:style>
  <w:style w:type="character" w:customStyle="1" w:styleId="24">
    <w:name w:val="first-child"/>
    <w:basedOn w:val="11"/>
    <w:qFormat/>
    <w:uiPriority w:val="0"/>
  </w:style>
  <w:style w:type="character" w:customStyle="1" w:styleId="25">
    <w:name w:val="layui-layer-tabnow"/>
    <w:qFormat/>
    <w:uiPriority w:val="0"/>
    <w:rPr>
      <w:bdr w:val="single" w:color="CCCCCC" w:sz="6" w:space="0"/>
      <w:shd w:val="clear" w:color="auto" w:fill="FFFFFF"/>
    </w:rPr>
  </w:style>
  <w:style w:type="paragraph" w:customStyle="1" w:styleId="26">
    <w:name w:val="列出段落1"/>
    <w:basedOn w:val="1"/>
    <w:semiHidden/>
    <w:qFormat/>
    <w:uiPriority w:val="0"/>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纯文本 Char"/>
    <w:link w:val="5"/>
    <w:qFormat/>
    <w:uiPriority w:val="0"/>
    <w:rPr>
      <w:rFonts w:ascii="宋体" w:hAnsi="Courier New" w:cs="Courier New"/>
      <w:kern w:val="2"/>
      <w:sz w:val="21"/>
      <w:szCs w:val="21"/>
    </w:rPr>
  </w:style>
  <w:style w:type="paragraph" w:styleId="29">
    <w:name w:val="List Paragraph"/>
    <w:basedOn w:val="1"/>
    <w:qFormat/>
    <w:uiPriority w:val="34"/>
    <w:pPr>
      <w:ind w:firstLine="420" w:firstLineChars="200"/>
      <w:jc w:val="both"/>
    </w:pPr>
    <w:rPr>
      <w:rFonts w:ascii="Calibri" w:hAnsi="Calibri"/>
      <w:sz w:val="21"/>
      <w:szCs w:val="22"/>
    </w:rPr>
  </w:style>
  <w:style w:type="character" w:customStyle="1" w:styleId="30">
    <w:name w:val="批注框文本 Char"/>
    <w:basedOn w:val="11"/>
    <w:link w:val="6"/>
    <w:qFormat/>
    <w:uiPriority w:val="0"/>
    <w:rPr>
      <w:rFonts w:ascii="宋体" w:hAnsi="宋体"/>
      <w:kern w:val="2"/>
      <w:sz w:val="18"/>
      <w:szCs w:val="18"/>
    </w:rPr>
  </w:style>
  <w:style w:type="paragraph" w:styleId="31">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32">
    <w:name w:val="HTML 预设格式 Char"/>
    <w:basedOn w:val="11"/>
    <w:link w:val="7"/>
    <w:qFormat/>
    <w:uiPriority w:val="0"/>
    <w:rPr>
      <w:rFonts w:ascii="宋体" w:hAnsi="宋体"/>
      <w:sz w:val="24"/>
      <w:szCs w:val="24"/>
    </w:rPr>
  </w:style>
  <w:style w:type="character" w:customStyle="1" w:styleId="33">
    <w:name w:val="Body text|1_"/>
    <w:basedOn w:val="11"/>
    <w:link w:val="34"/>
    <w:qFormat/>
    <w:uiPriority w:val="0"/>
    <w:rPr>
      <w:rFonts w:ascii="宋体" w:hAnsi="宋体" w:cs="宋体"/>
      <w:sz w:val="26"/>
      <w:szCs w:val="26"/>
      <w:lang w:val="zh-TW" w:eastAsia="zh-TW" w:bidi="zh-TW"/>
    </w:rPr>
  </w:style>
  <w:style w:type="paragraph" w:customStyle="1" w:styleId="34">
    <w:name w:val="Body text|1"/>
    <w:basedOn w:val="1"/>
    <w:link w:val="33"/>
    <w:qFormat/>
    <w:uiPriority w:val="0"/>
    <w:pPr>
      <w:spacing w:after="220"/>
      <w:jc w:val="left"/>
    </w:pPr>
    <w:rPr>
      <w:rFonts w:cs="宋体"/>
      <w:kern w:val="0"/>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5328BA-7893-4FE5-B81F-C28A21D24E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Words>
  <Characters>1430</Characters>
  <Lines>11</Lines>
  <Paragraphs>3</Paragraphs>
  <TotalTime>10</TotalTime>
  <ScaleCrop>false</ScaleCrop>
  <LinksUpToDate>false</LinksUpToDate>
  <CharactersWithSpaces>1677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2019-06-28T01:22:00Z</dcterms:created>
  <dc:creator>dell</dc:creator>
  <cp:lastModifiedBy>心平气和</cp:lastModifiedBy>
  <dcterms:modified xsi:type="dcterms:W3CDTF">2023-09-06T06:59:45Z</dcterms:modified>
  <dc:title>东财购【2017】19号</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AA13735D70444B7DA07374AC3FEDF1E6_12</vt:lpwstr>
  </property>
</Properties>
</file>