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D51C4">
      <w:pPr>
        <w:pStyle w:val="2"/>
        <w:tabs>
          <w:tab w:val="left" w:pos="0"/>
        </w:tabs>
        <w:autoSpaceDE w:val="0"/>
        <w:autoSpaceDN w:val="0"/>
        <w:adjustRightInd w:val="0"/>
        <w:spacing w:before="0" w:after="0" w:line="360" w:lineRule="auto"/>
        <w:jc w:val="center"/>
        <w:rPr>
          <w:rFonts w:hint="eastAsia" w:ascii="方正小标宋简体" w:hAnsi="方正小标宋简体" w:eastAsia="方正小标宋简体" w:cs="方正小标宋简体"/>
          <w:sz w:val="36"/>
          <w:szCs w:val="36"/>
          <w:lang w:val="en-US" w:eastAsia="zh-CN"/>
        </w:rPr>
      </w:pPr>
      <w:bookmarkStart w:id="0" w:name="_Toc35393834"/>
      <w:bookmarkStart w:id="1" w:name="_Toc28359044"/>
      <w:r>
        <w:rPr>
          <w:rFonts w:hint="eastAsia" w:ascii="方正小标宋简体" w:hAnsi="方正小标宋简体" w:eastAsia="方正小标宋简体" w:cs="方正小标宋简体"/>
          <w:sz w:val="36"/>
          <w:szCs w:val="36"/>
        </w:rPr>
        <w:t>监督检查处理结果</w:t>
      </w:r>
      <w:bookmarkEnd w:id="0"/>
      <w:bookmarkEnd w:id="1"/>
      <w:r>
        <w:rPr>
          <w:rFonts w:hint="eastAsia" w:ascii="方正小标宋简体" w:hAnsi="方正小标宋简体" w:eastAsia="方正小标宋简体" w:cs="方正小标宋简体"/>
          <w:sz w:val="36"/>
          <w:szCs w:val="36"/>
          <w:lang w:eastAsia="zh-CN"/>
        </w:rPr>
        <w:t>公告</w:t>
      </w:r>
    </w:p>
    <w:p w14:paraId="37CDA33E"/>
    <w:p w14:paraId="221474AC">
      <w:pPr>
        <w:ind w:firstLine="560" w:firstLineChars="200"/>
        <w:rPr>
          <w:rFonts w:ascii="黑体" w:hAnsi="黑体" w:eastAsia="黑体"/>
          <w:sz w:val="28"/>
          <w:szCs w:val="28"/>
        </w:rPr>
      </w:pPr>
      <w:r>
        <w:rPr>
          <w:rFonts w:hint="eastAsia" w:ascii="黑体" w:hAnsi="黑体" w:eastAsia="黑体"/>
          <w:sz w:val="28"/>
          <w:szCs w:val="28"/>
        </w:rPr>
        <w:t>一、</w:t>
      </w:r>
      <w:r>
        <w:rPr>
          <w:rFonts w:hint="eastAsia" w:ascii="黑体" w:hAnsi="黑体" w:eastAsia="黑体" w:cs="黑体"/>
          <w:sz w:val="32"/>
          <w:szCs w:val="32"/>
        </w:rPr>
        <w:t>项目编号</w:t>
      </w:r>
      <w:r>
        <w:rPr>
          <w:rFonts w:hint="eastAsia" w:ascii="黑体" w:hAnsi="黑体" w:eastAsia="黑体"/>
          <w:sz w:val="28"/>
          <w:szCs w:val="28"/>
        </w:rPr>
        <w:t>：</w:t>
      </w:r>
      <w:r>
        <w:rPr>
          <w:rFonts w:hint="eastAsia" w:ascii="仿宋_GB2312" w:hAnsi="仿宋_GB2312" w:eastAsia="仿宋_GB2312" w:cs="仿宋_GB2312"/>
          <w:sz w:val="32"/>
          <w:szCs w:val="32"/>
          <w:u w:val="single"/>
          <w:lang w:eastAsia="zh-CN"/>
        </w:rPr>
        <w:t>明月</w:t>
      </w:r>
      <w:r>
        <w:rPr>
          <w:rFonts w:hint="eastAsia" w:ascii="仿宋_GB2312" w:hAnsi="仿宋_GB2312" w:eastAsia="仿宋_GB2312" w:cs="仿宋_GB2312"/>
          <w:sz w:val="32"/>
          <w:szCs w:val="32"/>
          <w:u w:val="single"/>
        </w:rPr>
        <w:t>-YZ202</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highlight w:val="none"/>
          <w:u w:val="single"/>
        </w:rPr>
        <w:t>-00</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u w:val="single"/>
        </w:rPr>
        <w:t>　　　　　　</w:t>
      </w:r>
    </w:p>
    <w:p w14:paraId="0802C4AC">
      <w:pPr>
        <w:ind w:left="2519" w:leftChars="266" w:hanging="1960" w:hangingChars="700"/>
        <w:rPr>
          <w:rFonts w:hint="eastAsia" w:ascii="仿宋_GB2312" w:hAnsi="仿宋_GB2312" w:eastAsia="仿宋_GB2312" w:cs="仿宋_GB2312"/>
          <w:sz w:val="32"/>
          <w:szCs w:val="32"/>
          <w:u w:val="single"/>
        </w:rPr>
      </w:pPr>
      <w:r>
        <w:rPr>
          <w:rFonts w:hint="eastAsia" w:ascii="黑体" w:hAnsi="黑体" w:eastAsia="黑体"/>
          <w:sz w:val="28"/>
          <w:szCs w:val="28"/>
        </w:rPr>
        <w:t>二、</w:t>
      </w:r>
      <w:r>
        <w:rPr>
          <w:rFonts w:hint="eastAsia" w:ascii="黑体" w:hAnsi="黑体" w:eastAsia="黑体" w:cs="黑体"/>
          <w:sz w:val="32"/>
          <w:szCs w:val="32"/>
        </w:rPr>
        <w:t>项目名称</w:t>
      </w:r>
      <w:r>
        <w:rPr>
          <w:rFonts w:hint="eastAsia" w:ascii="黑体" w:hAnsi="黑体" w:eastAsia="黑体"/>
          <w:sz w:val="28"/>
          <w:szCs w:val="28"/>
        </w:rPr>
        <w:t>：</w:t>
      </w:r>
      <w:r>
        <w:rPr>
          <w:rFonts w:hint="eastAsia" w:ascii="仿宋_GB2312" w:hAnsi="仿宋_GB2312" w:eastAsia="仿宋_GB2312" w:cs="仿宋_GB2312"/>
          <w:sz w:val="32"/>
          <w:szCs w:val="32"/>
          <w:u w:val="single"/>
          <w:lang w:eastAsia="zh-CN"/>
        </w:rPr>
        <w:t>2024年袁州区240L垃圾桶及配件、240L厨余垃圾袋采购项目</w:t>
      </w:r>
    </w:p>
    <w:p w14:paraId="41A78EE5">
      <w:pPr>
        <w:ind w:firstLine="560" w:firstLineChars="200"/>
        <w:rPr>
          <w:rFonts w:hint="eastAsia" w:ascii="黑体" w:hAnsi="黑体" w:eastAsia="黑体" w:cs="黑体"/>
          <w:sz w:val="32"/>
          <w:szCs w:val="32"/>
        </w:rPr>
      </w:pPr>
      <w:r>
        <w:rPr>
          <w:rFonts w:hint="eastAsia" w:ascii="黑体" w:hAnsi="黑体" w:eastAsia="黑体"/>
          <w:sz w:val="28"/>
          <w:szCs w:val="28"/>
        </w:rPr>
        <w:t>三、</w:t>
      </w:r>
      <w:r>
        <w:rPr>
          <w:rFonts w:hint="eastAsia" w:ascii="黑体" w:hAnsi="黑体" w:eastAsia="黑体" w:cs="黑体"/>
          <w:sz w:val="32"/>
          <w:szCs w:val="32"/>
        </w:rPr>
        <w:t>相关当事人</w:t>
      </w:r>
    </w:p>
    <w:p w14:paraId="2867D2D3">
      <w:pPr>
        <w:ind w:firstLine="646" w:firstLineChars="20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当事人1：袁州区</w:t>
      </w:r>
      <w:r>
        <w:rPr>
          <w:rFonts w:hint="eastAsia" w:ascii="仿宋_GB2312" w:hAnsi="仿宋_GB2312" w:eastAsia="仿宋_GB2312" w:cs="仿宋_GB2312"/>
          <w:sz w:val="32"/>
          <w:szCs w:val="32"/>
          <w:u w:val="single"/>
          <w:lang w:eastAsia="zh-CN"/>
        </w:rPr>
        <w:t>城市管理局</w:t>
      </w:r>
      <w:r>
        <w:rPr>
          <w:rFonts w:hint="eastAsia" w:ascii="仿宋_GB2312" w:hAnsi="仿宋_GB2312" w:eastAsia="仿宋_GB2312" w:cs="仿宋_GB2312"/>
          <w:sz w:val="32"/>
          <w:szCs w:val="32"/>
          <w:u w:val="single"/>
          <w:lang w:val="en-US" w:eastAsia="zh-CN"/>
        </w:rPr>
        <w:t xml:space="preserve">   </w:t>
      </w:r>
    </w:p>
    <w:p w14:paraId="0C354D77">
      <w:pPr>
        <w:ind w:firstLine="646" w:firstLineChars="20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地址：</w:t>
      </w:r>
      <w:r>
        <w:rPr>
          <w:rFonts w:hint="eastAsia" w:ascii="仿宋_GB2312" w:hAnsi="仿宋_GB2312" w:eastAsia="仿宋_GB2312" w:cs="仿宋_GB2312"/>
          <w:sz w:val="32"/>
          <w:szCs w:val="32"/>
          <w:u w:val="single"/>
          <w:lang w:eastAsia="zh-CN"/>
        </w:rPr>
        <w:t>宜春市袁州大厦</w:t>
      </w:r>
      <w:r>
        <w:rPr>
          <w:rFonts w:hint="eastAsia" w:ascii="仿宋_GB2312" w:hAnsi="仿宋_GB2312" w:eastAsia="仿宋_GB2312" w:cs="仿宋_GB2312"/>
          <w:sz w:val="32"/>
          <w:szCs w:val="32"/>
          <w:u w:val="single"/>
          <w:lang w:val="en-US" w:eastAsia="zh-CN"/>
        </w:rPr>
        <w:t xml:space="preserve">3楼     </w:t>
      </w:r>
    </w:p>
    <w:p w14:paraId="74187391">
      <w:pPr>
        <w:ind w:firstLine="646" w:firstLineChars="202"/>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sz w:val="32"/>
          <w:szCs w:val="32"/>
          <w:highlight w:val="none"/>
          <w:u w:val="single"/>
        </w:rPr>
        <w:t>当事人2：</w:t>
      </w:r>
      <w:r>
        <w:rPr>
          <w:rFonts w:hint="eastAsia" w:ascii="仿宋_GB2312" w:hAnsi="仿宋_GB2312" w:eastAsia="仿宋_GB2312" w:cs="仿宋_GB2312"/>
          <w:color w:val="auto"/>
          <w:sz w:val="32"/>
          <w:szCs w:val="32"/>
          <w:highlight w:val="none"/>
          <w:u w:val="single"/>
          <w:lang w:eastAsia="zh-CN"/>
        </w:rPr>
        <w:t>宜春明月招标咨询有限公司</w:t>
      </w:r>
      <w:r>
        <w:rPr>
          <w:rFonts w:hint="eastAsia" w:ascii="仿宋_GB2312" w:hAnsi="仿宋_GB2312" w:eastAsia="仿宋_GB2312" w:cs="仿宋_GB2312"/>
          <w:color w:val="auto"/>
          <w:sz w:val="32"/>
          <w:szCs w:val="32"/>
          <w:highlight w:val="none"/>
          <w:u w:val="single"/>
          <w:lang w:val="en-US" w:eastAsia="zh-CN"/>
        </w:rPr>
        <w:t xml:space="preserve">   </w:t>
      </w:r>
    </w:p>
    <w:p w14:paraId="29639BC9">
      <w:pPr>
        <w:ind w:left="1598" w:leftChars="304" w:hanging="960" w:hangingChars="300"/>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rPr>
        <w:t>地址：宜春市明月北路1188号商务中心D座九玺广场905、907室</w:t>
      </w:r>
      <w:r>
        <w:rPr>
          <w:rFonts w:hint="eastAsia" w:ascii="仿宋_GB2312" w:hAnsi="仿宋_GB2312" w:eastAsia="仿宋_GB2312" w:cs="仿宋_GB2312"/>
          <w:sz w:val="32"/>
          <w:szCs w:val="32"/>
          <w:highlight w:val="none"/>
          <w:u w:val="single"/>
          <w:lang w:val="en-US" w:eastAsia="zh-CN"/>
        </w:rPr>
        <w:t xml:space="preserve">   </w:t>
      </w:r>
      <w:bookmarkStart w:id="2" w:name="_GoBack"/>
      <w:bookmarkEnd w:id="2"/>
    </w:p>
    <w:p w14:paraId="53D491A4">
      <w:pPr>
        <w:ind w:firstLine="640" w:firstLineChars="200"/>
        <w:rPr>
          <w:rFonts w:hint="eastAsia" w:ascii="黑体" w:hAnsi="黑体" w:eastAsia="黑体" w:cs="黑体"/>
          <w:sz w:val="32"/>
          <w:szCs w:val="32"/>
        </w:rPr>
      </w:pPr>
      <w:r>
        <w:rPr>
          <w:rFonts w:hint="eastAsia" w:ascii="黑体" w:hAnsi="黑体" w:eastAsia="黑体" w:cs="黑体"/>
          <w:sz w:val="32"/>
          <w:szCs w:val="32"/>
        </w:rPr>
        <w:t>四、基本情况</w:t>
      </w:r>
    </w:p>
    <w:p w14:paraId="08968D2E">
      <w:pPr>
        <w:ind w:firstLine="640" w:firstLineChars="200"/>
        <w:rPr>
          <w:rFonts w:ascii="仿宋_GB2312" w:eastAsia="仿宋_GB2312"/>
          <w:sz w:val="32"/>
          <w:szCs w:val="32"/>
        </w:rPr>
      </w:pPr>
      <w:r>
        <w:rPr>
          <w:rFonts w:hint="eastAsia" w:ascii="仿宋_GB2312" w:eastAsia="仿宋_GB2312"/>
          <w:sz w:val="32"/>
          <w:szCs w:val="32"/>
        </w:rPr>
        <w:t>根据相关举报线索，我局依法启动了对该项目的监督检查。举报事项为：</w:t>
      </w:r>
    </w:p>
    <w:p w14:paraId="06E15734">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该项目</w:t>
      </w:r>
      <w:r>
        <w:rPr>
          <w:rFonts w:hint="eastAsia" w:ascii="仿宋_GB2312" w:hAnsi="仿宋_GB2312" w:eastAsia="仿宋_GB2312" w:cs="仿宋_GB2312"/>
          <w:sz w:val="32"/>
          <w:szCs w:val="32"/>
          <w:u w:val="none"/>
          <w:lang w:val="en-US" w:eastAsia="zh-CN"/>
        </w:rPr>
        <w:t>将未在采购需求列明的技术参数、产品功能作评审因素以及将多项检测报告作为评分因素属于以不合理的条件对供应商实行差别待遇或者歧视待遇</w:t>
      </w:r>
      <w:r>
        <w:rPr>
          <w:rFonts w:hint="eastAsia" w:ascii="仿宋_GB2312" w:hAnsi="仿宋_GB2312" w:eastAsia="仿宋_GB2312" w:cs="仿宋_GB2312"/>
          <w:sz w:val="32"/>
          <w:szCs w:val="32"/>
          <w:u w:val="none"/>
          <w:lang w:eastAsia="zh-CN"/>
        </w:rPr>
        <w:t>。</w:t>
      </w:r>
    </w:p>
    <w:p w14:paraId="5B28FC5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2.该项目评标过程中提出检测报告作为评分因素异议，但采购人、代理、专家违反国家强制性规定仍然进行招标</w:t>
      </w:r>
      <w:r>
        <w:rPr>
          <w:rFonts w:hint="eastAsia" w:ascii="仿宋_GB2312" w:hAnsi="仿宋_GB2312" w:eastAsia="仿宋_GB2312" w:cs="仿宋_GB2312"/>
          <w:sz w:val="32"/>
          <w:szCs w:val="32"/>
          <w:u w:val="none"/>
          <w:lang w:eastAsia="zh-CN"/>
        </w:rPr>
        <w:t>。</w:t>
      </w:r>
    </w:p>
    <w:p w14:paraId="75D727FC">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3.该项目擅自提高标准，且远超货物成本和正常利润进行招标</w:t>
      </w:r>
      <w:r>
        <w:rPr>
          <w:rFonts w:hint="eastAsia" w:ascii="仿宋_GB2312" w:hAnsi="仿宋_GB2312" w:eastAsia="仿宋_GB2312" w:cs="仿宋_GB2312"/>
          <w:sz w:val="32"/>
          <w:szCs w:val="32"/>
          <w:u w:val="none"/>
          <w:lang w:eastAsia="zh-CN"/>
        </w:rPr>
        <w:t>。</w:t>
      </w:r>
    </w:p>
    <w:p w14:paraId="38C3F166">
      <w:pPr>
        <w:keepNext w:val="0"/>
        <w:keepLines w:val="0"/>
        <w:pageBreakBefore w:val="0"/>
        <w:kinsoku/>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lang w:eastAsia="zh-CN"/>
        </w:rPr>
        <w:t>五</w:t>
      </w:r>
      <w:r>
        <w:rPr>
          <w:rFonts w:hint="default" w:ascii="黑体" w:hAnsi="黑体" w:eastAsia="黑体" w:cs="黑体"/>
          <w:sz w:val="32"/>
          <w:szCs w:val="32"/>
        </w:rPr>
        <w:t>、</w:t>
      </w:r>
      <w:r>
        <w:rPr>
          <w:rFonts w:hint="eastAsia" w:ascii="黑体" w:hAnsi="黑体" w:eastAsia="黑体" w:cs="黑体"/>
          <w:sz w:val="32"/>
          <w:szCs w:val="32"/>
        </w:rPr>
        <w:t>处理依据及结果</w:t>
      </w:r>
    </w:p>
    <w:p w14:paraId="6119191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u w:val="none"/>
          <w:lang w:val="en-US" w:eastAsia="zh-CN"/>
        </w:rPr>
      </w:pPr>
      <w:r>
        <w:rPr>
          <w:rFonts w:hint="eastAsia" w:ascii="仿宋_GB2312" w:eastAsia="仿宋_GB2312"/>
          <w:sz w:val="32"/>
          <w:szCs w:val="32"/>
        </w:rPr>
        <w:t>经调查，</w:t>
      </w:r>
      <w:r>
        <w:rPr>
          <w:rFonts w:hint="eastAsia" w:ascii="仿宋_GB2312" w:hAnsi="仿宋_GB2312" w:eastAsia="仿宋_GB2312" w:cs="仿宋_GB2312"/>
          <w:sz w:val="32"/>
          <w:szCs w:val="32"/>
          <w:u w:val="none"/>
          <w:lang w:eastAsia="zh-CN"/>
        </w:rPr>
        <w:t>依据</w:t>
      </w:r>
      <w:r>
        <w:rPr>
          <w:rFonts w:hint="eastAsia" w:ascii="仿宋_GB2312" w:hAnsi="仿宋_GB2312" w:eastAsia="仿宋_GB2312" w:cs="仿宋_GB2312"/>
          <w:sz w:val="32"/>
          <w:szCs w:val="32"/>
          <w:u w:val="none"/>
          <w:lang w:val="en-US" w:eastAsia="zh-CN"/>
        </w:rPr>
        <w:t>《中华人民共和国政府采购法实施条例》第二十条、</w:t>
      </w:r>
      <w:r>
        <w:rPr>
          <w:rFonts w:hint="eastAsia" w:ascii="仿宋_GB2312" w:hAnsi="仿宋_GB2312" w:eastAsia="仿宋_GB2312" w:cs="仿宋_GB2312"/>
          <w:kern w:val="2"/>
          <w:sz w:val="32"/>
          <w:szCs w:val="32"/>
          <w:u w:val="none"/>
          <w:lang w:val="en-US" w:eastAsia="zh-CN" w:bidi="ar-SA"/>
        </w:rPr>
        <w:t>《政府采购货物和服务招标投标管理办法》第十一条、第二十二条等</w:t>
      </w:r>
      <w:r>
        <w:rPr>
          <w:rFonts w:hint="eastAsia" w:ascii="仿宋_GB2312" w:hAnsi="仿宋_GB2312" w:eastAsia="仿宋_GB2312" w:cs="仿宋_GB2312"/>
          <w:sz w:val="32"/>
          <w:szCs w:val="32"/>
          <w:u w:val="none"/>
          <w:lang w:eastAsia="zh-CN"/>
        </w:rPr>
        <w:t>规定及相关事实依据</w:t>
      </w:r>
      <w:r>
        <w:rPr>
          <w:rFonts w:hint="eastAsia" w:ascii="仿宋_GB2312" w:hAnsi="仿宋_GB2312" w:eastAsia="仿宋_GB2312" w:cs="仿宋_GB2312"/>
          <w:kern w:val="2"/>
          <w:sz w:val="32"/>
          <w:szCs w:val="32"/>
          <w:u w:val="none"/>
          <w:lang w:val="en-US" w:eastAsia="zh-CN" w:bidi="ar-SA"/>
        </w:rPr>
        <w:t>，</w:t>
      </w:r>
      <w:r>
        <w:rPr>
          <w:rFonts w:hint="eastAsia" w:ascii="仿宋_GB2312" w:eastAsia="仿宋_GB2312"/>
          <w:sz w:val="32"/>
          <w:szCs w:val="32"/>
        </w:rPr>
        <w:t>举报事项1、2</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rPr>
        <w:t>不成立</w:t>
      </w:r>
      <w:r>
        <w:rPr>
          <w:rFonts w:hint="eastAsia" w:ascii="仿宋_GB2312" w:eastAsia="仿宋_GB2312"/>
          <w:sz w:val="32"/>
          <w:szCs w:val="32"/>
          <w:lang w:eastAsia="zh-CN"/>
        </w:rPr>
        <w:t>。</w:t>
      </w:r>
    </w:p>
    <w:p w14:paraId="773539D4">
      <w:pPr>
        <w:widowControl/>
        <w:ind w:right="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644FF2D">
      <w:pPr>
        <w:widowControl/>
        <w:ind w:right="3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020C3A8">
      <w:pPr>
        <w:widowControl/>
        <w:ind w:right="3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宜春市袁州区财政局</w:t>
      </w:r>
    </w:p>
    <w:p w14:paraId="3BC50F87">
      <w:pPr>
        <w:widowControl/>
        <w:ind w:right="300"/>
        <w:jc w:val="right"/>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2024年10月28日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262C25CF">
        <w:pPr>
          <w:pStyle w:val="13"/>
          <w:jc w:val="center"/>
        </w:pPr>
        <w:r>
          <w:fldChar w:fldCharType="begin"/>
        </w:r>
        <w:r>
          <w:instrText xml:space="preserve">PAGE   \* MERGEFORMAT</w:instrText>
        </w:r>
        <w:r>
          <w:fldChar w:fldCharType="separate"/>
        </w:r>
        <w:r>
          <w:rPr>
            <w:lang w:val="zh-CN"/>
          </w:rPr>
          <w:t>1</w:t>
        </w:r>
        <w:r>
          <w:fldChar w:fldCharType="end"/>
        </w:r>
      </w:p>
    </w:sdtContent>
  </w:sdt>
  <w:p w14:paraId="656DEA16">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jEwNzhiNzBkOTVlNjJhOWE4N2QzODQzN2I2ZGE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16543"/>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3E33071"/>
    <w:rsid w:val="046B3CC5"/>
    <w:rsid w:val="0B6002C7"/>
    <w:rsid w:val="0E1A3B33"/>
    <w:rsid w:val="0FAC2EB1"/>
    <w:rsid w:val="0FE351FF"/>
    <w:rsid w:val="10F1501F"/>
    <w:rsid w:val="11840E7C"/>
    <w:rsid w:val="1C6E4B92"/>
    <w:rsid w:val="1E8F40C9"/>
    <w:rsid w:val="20C31E08"/>
    <w:rsid w:val="217C6D52"/>
    <w:rsid w:val="219A1C65"/>
    <w:rsid w:val="21CB3A5F"/>
    <w:rsid w:val="21F90E60"/>
    <w:rsid w:val="256B319A"/>
    <w:rsid w:val="28E141F5"/>
    <w:rsid w:val="2C7D1A05"/>
    <w:rsid w:val="2CB371D5"/>
    <w:rsid w:val="2CF173E5"/>
    <w:rsid w:val="2D517F77"/>
    <w:rsid w:val="2F9C2100"/>
    <w:rsid w:val="310E5321"/>
    <w:rsid w:val="33A53D1B"/>
    <w:rsid w:val="358F5940"/>
    <w:rsid w:val="38622B63"/>
    <w:rsid w:val="391D1F38"/>
    <w:rsid w:val="3A6305DE"/>
    <w:rsid w:val="3E9A05A9"/>
    <w:rsid w:val="3ECE0F9C"/>
    <w:rsid w:val="3F4469A5"/>
    <w:rsid w:val="41A72087"/>
    <w:rsid w:val="41DB6C24"/>
    <w:rsid w:val="42294186"/>
    <w:rsid w:val="44964820"/>
    <w:rsid w:val="46E110B6"/>
    <w:rsid w:val="4778341F"/>
    <w:rsid w:val="48F759E7"/>
    <w:rsid w:val="4A825CBB"/>
    <w:rsid w:val="4BAF075A"/>
    <w:rsid w:val="4C1C19BF"/>
    <w:rsid w:val="4F425540"/>
    <w:rsid w:val="507027E6"/>
    <w:rsid w:val="5136739D"/>
    <w:rsid w:val="5212481A"/>
    <w:rsid w:val="5314011E"/>
    <w:rsid w:val="53B65679"/>
    <w:rsid w:val="54B56AB3"/>
    <w:rsid w:val="55AB591B"/>
    <w:rsid w:val="55B85B2E"/>
    <w:rsid w:val="572B6763"/>
    <w:rsid w:val="578C4726"/>
    <w:rsid w:val="58786F51"/>
    <w:rsid w:val="596D46B9"/>
    <w:rsid w:val="5A0709DC"/>
    <w:rsid w:val="5AEE336B"/>
    <w:rsid w:val="5D467A6D"/>
    <w:rsid w:val="5DCB3ACF"/>
    <w:rsid w:val="5E82103D"/>
    <w:rsid w:val="60964FF0"/>
    <w:rsid w:val="61384EC8"/>
    <w:rsid w:val="64393E88"/>
    <w:rsid w:val="67401089"/>
    <w:rsid w:val="67553B2A"/>
    <w:rsid w:val="6A7379C8"/>
    <w:rsid w:val="6FEC6DC9"/>
    <w:rsid w:val="718A4A0E"/>
    <w:rsid w:val="7195149B"/>
    <w:rsid w:val="71F17B50"/>
    <w:rsid w:val="73486DFE"/>
    <w:rsid w:val="735633A3"/>
    <w:rsid w:val="74023B4A"/>
    <w:rsid w:val="752C6579"/>
    <w:rsid w:val="768A2723"/>
    <w:rsid w:val="788C754F"/>
    <w:rsid w:val="79295E21"/>
    <w:rsid w:val="79D36144"/>
    <w:rsid w:val="7C1C7EBF"/>
    <w:rsid w:val="7D111E22"/>
    <w:rsid w:val="7DA64588"/>
    <w:rsid w:val="7E671790"/>
    <w:rsid w:val="7F5A29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unhideWhenUsed/>
    <w:qFormat/>
    <w:uiPriority w:val="99"/>
    <w:pPr>
      <w:jc w:val="left"/>
    </w:pPr>
  </w:style>
  <w:style w:type="paragraph" w:styleId="6">
    <w:name w:val="Body Text"/>
    <w:basedOn w:val="1"/>
    <w:qFormat/>
    <w:uiPriority w:val="0"/>
    <w:rPr>
      <w:rFonts w:ascii="宋体" w:hAnsi="宋体" w:eastAsia="宋体"/>
      <w:sz w:val="28"/>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Plain Text"/>
    <w:basedOn w:val="1"/>
    <w:next w:val="1"/>
    <w:link w:val="31"/>
    <w:qFormat/>
    <w:uiPriority w:val="0"/>
    <w:rPr>
      <w:rFonts w:ascii="宋体" w:hAnsi="Courier New" w:eastAsiaTheme="minorEastAsia" w:cstheme="minorBidi"/>
      <w:szCs w:val="22"/>
    </w:rPr>
  </w:style>
  <w:style w:type="paragraph" w:styleId="11">
    <w:name w:val="Date"/>
    <w:basedOn w:val="1"/>
    <w:next w:val="1"/>
    <w:link w:val="32"/>
    <w:qFormat/>
    <w:uiPriority w:val="0"/>
    <w:pPr>
      <w:adjustRightInd w:val="0"/>
      <w:spacing w:line="360" w:lineRule="atLeast"/>
      <w:textAlignment w:val="baseline"/>
    </w:pPr>
    <w:rPr>
      <w:rFonts w:ascii="宋体" w:cs="宋体"/>
      <w:kern w:val="0"/>
      <w:sz w:val="24"/>
      <w:szCs w:val="24"/>
    </w:rPr>
  </w:style>
  <w:style w:type="paragraph" w:styleId="12">
    <w:name w:val="Balloon Text"/>
    <w:basedOn w:val="1"/>
    <w:link w:val="33"/>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6">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7">
    <w:name w:val="Body Text 2"/>
    <w:basedOn w:val="1"/>
    <w:link w:val="34"/>
    <w:qFormat/>
    <w:uiPriority w:val="0"/>
    <w:pPr>
      <w:spacing w:after="120" w:line="480" w:lineRule="auto"/>
    </w:p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5"/>
    <w:next w:val="5"/>
    <w:link w:val="35"/>
    <w:semiHidden/>
    <w:unhideWhenUsed/>
    <w:qFormat/>
    <w:uiPriority w:val="99"/>
    <w:rPr>
      <w:b/>
      <w:bCs/>
    </w:rPr>
  </w:style>
  <w:style w:type="table" w:styleId="21">
    <w:name w:val="Table Grid"/>
    <w:basedOn w:val="2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character" w:customStyle="1" w:styleId="26">
    <w:name w:val="页眉 Char"/>
    <w:basedOn w:val="22"/>
    <w:link w:val="14"/>
    <w:qFormat/>
    <w:uiPriority w:val="99"/>
    <w:rPr>
      <w:sz w:val="18"/>
      <w:szCs w:val="18"/>
    </w:rPr>
  </w:style>
  <w:style w:type="character" w:customStyle="1" w:styleId="27">
    <w:name w:val="页脚 Char"/>
    <w:basedOn w:val="22"/>
    <w:link w:val="13"/>
    <w:qFormat/>
    <w:uiPriority w:val="99"/>
    <w:rPr>
      <w:sz w:val="18"/>
      <w:szCs w:val="18"/>
    </w:rPr>
  </w:style>
  <w:style w:type="character" w:customStyle="1" w:styleId="28">
    <w:name w:val="标题 1 Char"/>
    <w:basedOn w:val="22"/>
    <w:link w:val="2"/>
    <w:qFormat/>
    <w:uiPriority w:val="9"/>
    <w:rPr>
      <w:rFonts w:ascii="Times New Roman" w:hAnsi="Times New Roman" w:eastAsia="宋体" w:cs="Times New Roman"/>
      <w:b/>
      <w:bCs/>
      <w:kern w:val="44"/>
      <w:sz w:val="44"/>
      <w:szCs w:val="44"/>
    </w:rPr>
  </w:style>
  <w:style w:type="character" w:customStyle="1" w:styleId="29">
    <w:name w:val="标题 2 Char"/>
    <w:basedOn w:val="22"/>
    <w:link w:val="3"/>
    <w:qFormat/>
    <w:uiPriority w:val="0"/>
    <w:rPr>
      <w:rFonts w:ascii="Arial" w:hAnsi="Arial" w:eastAsia="黑体" w:cs="Arial"/>
      <w:b/>
      <w:bCs/>
      <w:sz w:val="32"/>
      <w:szCs w:val="32"/>
    </w:rPr>
  </w:style>
  <w:style w:type="character" w:customStyle="1" w:styleId="30">
    <w:name w:val="批注文字 Char"/>
    <w:basedOn w:val="22"/>
    <w:link w:val="5"/>
    <w:semiHidden/>
    <w:qFormat/>
    <w:uiPriority w:val="99"/>
    <w:rPr>
      <w:rFonts w:ascii="Times New Roman" w:hAnsi="Times New Roman" w:eastAsia="宋体" w:cs="Times New Roman"/>
      <w:szCs w:val="21"/>
    </w:rPr>
  </w:style>
  <w:style w:type="character" w:customStyle="1" w:styleId="31">
    <w:name w:val="纯文本 Char"/>
    <w:basedOn w:val="22"/>
    <w:link w:val="10"/>
    <w:qFormat/>
    <w:uiPriority w:val="0"/>
    <w:rPr>
      <w:rFonts w:ascii="宋体" w:hAnsi="Courier New"/>
    </w:rPr>
  </w:style>
  <w:style w:type="character" w:customStyle="1" w:styleId="32">
    <w:name w:val="日期 Char"/>
    <w:basedOn w:val="22"/>
    <w:link w:val="11"/>
    <w:qFormat/>
    <w:uiPriority w:val="0"/>
    <w:rPr>
      <w:rFonts w:ascii="宋体" w:hAnsi="Times New Roman" w:eastAsia="宋体" w:cs="宋体"/>
      <w:kern w:val="0"/>
      <w:sz w:val="24"/>
      <w:szCs w:val="24"/>
    </w:rPr>
  </w:style>
  <w:style w:type="character" w:customStyle="1" w:styleId="33">
    <w:name w:val="批注框文本 Char"/>
    <w:basedOn w:val="22"/>
    <w:link w:val="12"/>
    <w:semiHidden/>
    <w:qFormat/>
    <w:uiPriority w:val="99"/>
    <w:rPr>
      <w:rFonts w:ascii="Times New Roman" w:hAnsi="Times New Roman" w:eastAsia="宋体" w:cs="Times New Roman"/>
      <w:sz w:val="18"/>
      <w:szCs w:val="18"/>
    </w:rPr>
  </w:style>
  <w:style w:type="character" w:customStyle="1" w:styleId="34">
    <w:name w:val="正文文本 2 Char"/>
    <w:basedOn w:val="22"/>
    <w:link w:val="17"/>
    <w:qFormat/>
    <w:uiPriority w:val="0"/>
    <w:rPr>
      <w:rFonts w:ascii="Times New Roman" w:hAnsi="Times New Roman" w:eastAsia="宋体" w:cs="Times New Roman"/>
      <w:szCs w:val="21"/>
    </w:rPr>
  </w:style>
  <w:style w:type="character" w:customStyle="1" w:styleId="35">
    <w:name w:val="批注主题 Char"/>
    <w:basedOn w:val="30"/>
    <w:link w:val="19"/>
    <w:semiHidden/>
    <w:qFormat/>
    <w:uiPriority w:val="99"/>
    <w:rPr>
      <w:rFonts w:ascii="Times New Roman" w:hAnsi="Times New Roman" w:eastAsia="宋体" w:cs="Times New Roman"/>
      <w:b/>
      <w:bCs/>
      <w:szCs w:val="21"/>
    </w:rPr>
  </w:style>
  <w:style w:type="character" w:customStyle="1" w:styleId="36">
    <w:name w:val="纯文本 字符"/>
    <w:basedOn w:val="22"/>
    <w:semiHidden/>
    <w:qFormat/>
    <w:uiPriority w:val="99"/>
    <w:rPr>
      <w:rFonts w:hAnsi="Courier New" w:cs="Courier New" w:asciiTheme="minorEastAsia"/>
      <w:szCs w:val="21"/>
    </w:rPr>
  </w:style>
  <w:style w:type="paragraph" w:styleId="37">
    <w:name w:val="List Paragraph"/>
    <w:basedOn w:val="1"/>
    <w:qFormat/>
    <w:uiPriority w:val="34"/>
    <w:pPr>
      <w:ind w:firstLine="420" w:firstLineChars="200"/>
    </w:pPr>
  </w:style>
  <w:style w:type="paragraph" w:customStyle="1" w:styleId="38">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1">
    <w:name w:val="qowt-font10-gbk"/>
    <w:basedOn w:val="22"/>
    <w:qFormat/>
    <w:uiPriority w:val="0"/>
  </w:style>
  <w:style w:type="table" w:customStyle="1" w:styleId="42">
    <w:name w:val="Table Normal"/>
    <w:unhideWhenUsed/>
    <w:qFormat/>
    <w:uiPriority w:val="0"/>
    <w:tblPr>
      <w:tblCellMar>
        <w:top w:w="0" w:type="dxa"/>
        <w:left w:w="0" w:type="dxa"/>
        <w:bottom w:w="0" w:type="dxa"/>
        <w:right w:w="0" w:type="dxa"/>
      </w:tblCellMar>
    </w:tblPr>
  </w:style>
  <w:style w:type="character" w:customStyle="1" w:styleId="43">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4892</Words>
  <Characters>5172</Characters>
  <Lines>57</Lines>
  <Paragraphs>16</Paragraphs>
  <TotalTime>12</TotalTime>
  <ScaleCrop>false</ScaleCrop>
  <LinksUpToDate>false</LinksUpToDate>
  <CharactersWithSpaces>5249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醉</cp:lastModifiedBy>
  <cp:lastPrinted>2023-10-14T08:00:00Z</cp:lastPrinted>
  <dcterms:modified xsi:type="dcterms:W3CDTF">2024-10-29T03:49:09Z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E99B52924BD94CB1B7C0D4649D0AAB0F</vt:lpwstr>
  </property>
</Properties>
</file>