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中诚－YC2022－026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宜春市综合行政执法局综合行政执法办案系统建设项目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宜春市综合行政执法局</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宜春市袁州区宜阳大厦东座9层</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江西中诚招标咨询有限公司</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宜春市袁州区卢洲北路736号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投诉人因对被投诉人质疑答复不满意，于2023年1月16日向本机关提起投诉。本机关审查后依法受理，现已审查结束。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采购代理机构以投诉人在投标文件中提供的缴税凭证不合格为由判定投标无效。招标文件中对于需要提供的企业缴税凭证或证明具体是怎样的内容、格式或形式没有详细的描述，而投诉人据此提供了由国家税务总局上海市浦东新区税务局提供的2022年11月份的税收完税证明，足以能够证明我司的税收缴纳是正常状态，完全符合招标文件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2.在质疑答复函中，采购代理机构称投诉人未提供企业缴税凭证，事实投诉人已提供合格的企业缴税凭证。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3.对于投诉人提供的企业缴税证明任何问题，采购人、采购代理机构评审时可以直接在国家税务局网站上进行公开查询，不应据此否定掉一个合法经营、正常纳税的合格投标。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4.投诉人对北京优炫软件股份有限公司不是中小企业、不具备本项目的投标资格提出质疑，并给出了合理的证据，代理公司回复函中却没有针对我们提供的证据进行回应，回复结论不能令人信服。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1.金牌科技有限公司提供的两份2022年11月完税证明和社保缴纳证明，第一份的税种为：失业保险费、工伤保险费。第二份的税种为：企业职工基本养老保险费、基本医疗保险费。根据投诉人提供的材料，只能证明投诉人具有社会保障资金的良好记录，未查询到有依法缴纳税收的良好记录或证明材料或承诺函。依据《中华人民共和国政府采购法》第二十二条，供应商参加政府采购活动应当具备下列条件：（四)有依法缴纳税收和社会保障资金的良好记录。《中华人民共和国政府采购法实施条例》第十七条，参加政府采购活动的供应商应当具备政府采购法第二十二条第一款规定的条件，提供下列材料：（二）财务状况报告，依法缴纳税收和社会保障资金的相关材料。据此认定金牌科技有限公司不符合资格条件要求，投标无效。2.根据《宜春市财政局关于进一步加大政府采购支持中小企业力度的通知》（宜财购发〔2022〕36号），简化采购活动程序，对于没有不良信用的中小企业，不再要求其提供相关财务状况、缴纳税收和社会保障资金等证明材料，供应商书面承诺符合参与政府采购活动的资格条件并且没有税收缴纳、社会保障等方面失信记录，即可参加政府采购活动。因此在招标文件中载明：对于没有不良信用记录的中小企业，可提供书面承诺符合参与政府采购活动的资格条件并且没有税收缴纳、社会保障等方面失信记录，提供承诺函佐证。3.北京优炫软件股份有限公司已提供《中小企业声明函》，做出应答并附工信部官网查询截图和北京市经信局颁发的“北京市专精特新中小企业”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1.取消金牌科技有限公司投标资格是江西中诚招标咨询有限公司根据政府采购法规、政策及招标文件及专家组意见作出的。2.认定北京优炫软件股份有限公司为中小企业，主要是该企业自主声明及提供的北京市经济和信息化局关于2022年度一批“专精特新”中小企业的公告予以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2月28日，本机关向北京市海淀区科学技术和经济信息化局发出《关于协助认定北京优炫软件股份有限公司企业类型的函》（宜财购函﹝2023﹞6号），请求北京市海淀区科学技术和经济信息化局协助认定北京优炫软件股份有限公司企业类型。2023年3月29日，收到北京市海淀区科学技术和经济信息化局《关于协助认定企业类型的复函》，确认北京优炫软件股份有限公司是经北京市经济和信息化局认定并公告的2022年第一批“专精特新”中小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1.金牌科技有限公司《投诉书》；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2.宜春市综合行政执法局《关于对综合行政执法办案系统项目政府采购投诉的情况说明》；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3.江西中诚招标咨询有限公司《关于“宜春市综合行政执法局综合行政执法办案系统建设项目”的投诉答复函》；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4.北京优炫软件股份有限公司《中小企业声明函》；《质疑应答函》；工信部官网查询截图；北京市经信局颁发的“北京市专精特新中小企业”证书；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5.宜春市财政局《关于协助认定北京优炫软件股份有限公司企业类型的函》；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6.北京市海淀区科学技术和经济信息化局《关于协助认定企业类型的复函》。</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bookmarkStart w:id="2" w:name="_GoBack"/>
      <w:r>
        <w:rPr>
          <w:rFonts w:hint="eastAsia" w:ascii="仿宋_GB2312" w:hAnsi="仿宋_GB2312" w:eastAsia="仿宋_GB2312" w:cs="仿宋_GB2312"/>
          <w:sz w:val="28"/>
          <w:szCs w:val="28"/>
          <w:u w:val="none"/>
        </w:rPr>
        <w:t>根据《政府采购质疑和投诉办法》（财政部令第94号）第二十七条规定，财政部门处理投诉事项，需要检验、检测、鉴定、专家评审以及需要投诉人补正材料的，所需时间不计算在投诉处理期限内。本机关为维护当事人合法权益，向北京市海淀区科学技术和经济信息化局发函请求协助认定北京优炫软件股份有限公司企业类型，所需时间符合法规规定不计算在投诉处理期限内。本投诉处理时限符合法规要求的30个工作日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 2018年7月20日，新华社发布中共中央办公厅、国务院办公厅印发《国税地税征管体制改革方案》新闻，文中明确从2019年1月1日起，将基本养老保险费、基本医疗保险费、失业保险费、工伤保险费、生育保险费等各项社会保险费交由税务部门统一征收。2020年10月30日，上海市人力资源和社会保障局、上海市财政局、国家税务总局上海市税务局、上海市医疗保障局联合发布《关于企业社会保险费交由税务部门征收的》，明确征收范围、征收方式及征收期限、缴费渠道和其他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招标文件载明要求有依法缴纳税收和社会保障资金的良好记录：开标前六个月内任意一个月的企业缴税凭证或证明；和开标前六个月内任意一个月的缴纳社会保障资金的凭证或当地社会保障局出具的缴纳明细。（依法免税或不需要缴纳社会保障资金的投标人，应当提供相关文件证明其依法免税或不需要缴纳社会保障资金证明材料）。或对于没有不良信用记录的中小企业，可提供书面承诺符合参与政府采购活动的资格条件并且没有税收缴纳、社会保障等方面失信记录，提供承诺函佐证（格式自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提供的两份2022年11月完税证明和社保缴纳证明，第一份的税种为：失业保险费、工伤保险费。第二份的税种为：企业职工基本养老保险费、基本医疗保险费。根据投诉人提供的材料，证明投诉人具有缴纳社会保障资金的良好记录，所缴保险费依法由税务部门征收；调查未发现投诉人投标文件中有缴纳如增值税、企业所得税、契税等法定税收票据，或投诉人相关承诺函等招标文件所要求的材料。投诉人称采购人、采购代理机构在组织开标时可以直接在国家税务局网站上进行公开查询，对于采购人和采购代理机构而言并非法定义务；且招标文件资格条件中，已对此进行明示，投标人参与本项目投标，即表示认同招标人的要求。因此，投诉事项1、2、3均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2.北京市海淀区科学技术和经济信息化局《关于协助认定企业类型的复函》，确认北京优炫软件股份有限公司是经北京市经济和信息化局认定并公告的2022年第一批“专精特新”中小企业。 投诉事项4没有事实依据，投诉不成立。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根据《政府采购质疑和投诉办法》（财政部令第94号）第二十九条第一款第（二）项之规定，本机关决定如下：投诉人投诉事项1、投诉事项2、投诉事项3、投诉事项4不成立，驳回投诉。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如对上述处理决定不服，当事人可在收到本决定书起60日内依法向宜春市人民政府申请行政复议或者六个月内依法向宜春市中级人民法院提起行政诉讼。</w:t>
      </w:r>
    </w:p>
    <w:bookmarkEnd w:id="2"/>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7F73E46"/>
    <w:rsid w:val="3FC438CC"/>
    <w:rsid w:val="494A433D"/>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12</TotalTime>
  <ScaleCrop>false</ScaleCrop>
  <LinksUpToDate>false</LinksUpToDate>
  <CharactersWithSpaces>2556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2023-04-11T08:53:20Z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35394198343F40B8A160E744B13F5070_13</vt:lpwstr>
  </property>
</Properties>
</file>