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eastAsia="黑体"/>
          <w:b/>
          <w:sz w:val="52"/>
          <w:szCs w:val="52"/>
        </w:rPr>
      </w:pPr>
      <w:r>
        <w:rPr>
          <w:rFonts w:hint="eastAsia" w:ascii="黑体" w:eastAsia="黑体"/>
          <w:b/>
          <w:sz w:val="52"/>
          <w:szCs w:val="52"/>
        </w:rPr>
        <w:t>江西省公共资源电子交易服务平台</w:t>
      </w:r>
    </w:p>
    <w:p>
      <w:pPr>
        <w:jc w:val="center"/>
        <w:rPr>
          <w:rFonts w:ascii="黑体" w:eastAsia="黑体"/>
          <w:b/>
          <w:sz w:val="52"/>
          <w:szCs w:val="52"/>
        </w:rPr>
      </w:pPr>
      <w:r>
        <w:rPr>
          <w:rFonts w:hint="eastAsia" w:ascii="黑体" w:eastAsia="黑体"/>
          <w:b/>
          <w:sz w:val="52"/>
          <w:szCs w:val="52"/>
        </w:rPr>
        <w:t>政府采购子系统</w:t>
      </w:r>
    </w:p>
    <w:p>
      <w:pPr>
        <w:jc w:val="center"/>
        <w:rPr>
          <w:rFonts w:ascii="黑体" w:eastAsia="黑体"/>
          <w:b/>
          <w:sz w:val="52"/>
          <w:szCs w:val="52"/>
        </w:rPr>
      </w:pPr>
      <w:r>
        <w:rPr>
          <w:rFonts w:hint="eastAsia" w:ascii="黑体" w:eastAsia="黑体"/>
          <w:b/>
          <w:sz w:val="52"/>
          <w:szCs w:val="52"/>
        </w:rPr>
        <w:t>采购办操作手册</w:t>
      </w: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0" w:firstLineChars="0"/>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361"/>
        <w:jc w:val="left"/>
        <w:rPr>
          <w:rFonts w:ascii="宋体" w:hAnsi="宋体"/>
          <w:b/>
          <w:bCs/>
        </w:rPr>
      </w:pPr>
    </w:p>
    <w:p>
      <w:pPr>
        <w:pStyle w:val="46"/>
        <w:ind w:firstLine="0" w:firstLineChars="0"/>
        <w:jc w:val="left"/>
        <w:rPr>
          <w:rFonts w:ascii="宋体" w:hAnsi="宋体"/>
          <w:b/>
          <w:bCs/>
        </w:rPr>
      </w:pPr>
    </w:p>
    <w:p>
      <w:pPr>
        <w:jc w:val="center"/>
        <w:rPr>
          <w:rFonts w:eastAsia="仿宋_GB2312"/>
          <w:b/>
          <w:sz w:val="28"/>
          <w:szCs w:val="28"/>
          <w:shd w:val="pct10" w:color="auto" w:fill="FFFFFF"/>
        </w:rPr>
      </w:pPr>
      <w:r>
        <w:rPr>
          <w:rFonts w:hint="eastAsia" w:eastAsia="仿宋_GB2312"/>
          <w:b/>
          <w:sz w:val="28"/>
          <w:szCs w:val="28"/>
          <w:shd w:val="pct10" w:color="auto" w:fill="FFFFFF"/>
        </w:rPr>
        <w:t>免费技术支持电话：</w:t>
      </w:r>
      <w:r>
        <w:rPr>
          <w:rFonts w:eastAsia="仿宋_GB2312"/>
          <w:b/>
          <w:sz w:val="28"/>
          <w:szCs w:val="28"/>
          <w:shd w:val="pct10" w:color="auto" w:fill="FFFFFF"/>
        </w:rPr>
        <w:t>400-998-0000</w:t>
      </w:r>
    </w:p>
    <w:p>
      <w:pPr>
        <w:jc w:val="center"/>
        <w:rPr>
          <w:rFonts w:eastAsia="仿宋_GB2312"/>
          <w:b/>
          <w:sz w:val="28"/>
          <w:szCs w:val="28"/>
          <w:shd w:val="pct10" w:color="auto" w:fill="FFFFFF"/>
        </w:rPr>
      </w:pPr>
    </w:p>
    <w:p>
      <w:pPr>
        <w:jc w:val="center"/>
        <w:rPr>
          <w:rFonts w:eastAsia="仿宋_GB2312"/>
          <w:b/>
          <w:sz w:val="28"/>
          <w:szCs w:val="28"/>
          <w:shd w:val="pct10" w:color="auto" w:fill="FFFFFF"/>
        </w:rPr>
      </w:pPr>
    </w:p>
    <w:p>
      <w:pPr>
        <w:jc w:val="center"/>
        <w:rPr>
          <w:rFonts w:eastAsia="仿宋_GB2312"/>
          <w:b/>
          <w:sz w:val="28"/>
          <w:szCs w:val="28"/>
          <w:shd w:val="pct10" w:color="auto" w:fill="FFFFFF"/>
        </w:rPr>
      </w:pPr>
    </w:p>
    <w:p>
      <w:pPr>
        <w:rPr>
          <w:rFonts w:eastAsia="仿宋_GB2312"/>
          <w:sz w:val="28"/>
          <w:szCs w:val="28"/>
        </w:rPr>
      </w:pPr>
    </w:p>
    <w:p>
      <w:pPr>
        <w:tabs>
          <w:tab w:val="left" w:pos="6345"/>
        </w:tabs>
        <w:rPr>
          <w:rFonts w:eastAsia="仿宋_GB2312"/>
          <w:sz w:val="28"/>
          <w:szCs w:val="28"/>
        </w:rPr>
      </w:pPr>
      <w:r>
        <w:rPr>
          <w:rFonts w:eastAsia="仿宋_GB2312"/>
          <w:sz w:val="28"/>
          <w:szCs w:val="28"/>
        </w:rPr>
        <w:tab/>
      </w:r>
    </w:p>
    <w:p>
      <w:pPr>
        <w:pStyle w:val="42"/>
        <w:jc w:val="center"/>
        <w:rPr>
          <w:color w:val="000000" w:themeColor="text1"/>
        </w:rPr>
      </w:pPr>
      <w:r>
        <w:rPr>
          <w:color w:val="000000" w:themeColor="text1"/>
          <w:lang w:val="zh-CN"/>
        </w:rPr>
        <w:t>目录</w:t>
      </w:r>
    </w:p>
    <w:p>
      <w:pPr>
        <w:pStyle w:val="22"/>
        <w:tabs>
          <w:tab w:val="right" w:leader="dot" w:pos="8306"/>
        </w:tabs>
      </w:pPr>
      <w:r>
        <w:fldChar w:fldCharType="begin"/>
      </w:r>
      <w:r>
        <w:instrText xml:space="preserve"> TOC \o "1-3" \h \z \u </w:instrText>
      </w:r>
      <w:r>
        <w:fldChar w:fldCharType="separate"/>
      </w:r>
      <w:r>
        <w:fldChar w:fldCharType="begin"/>
      </w:r>
      <w:r>
        <w:instrText xml:space="preserve"> HYPERLINK \l _Toc28475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1. </w:t>
      </w:r>
      <w:r>
        <w:rPr>
          <w:rFonts w:hint="eastAsia"/>
        </w:rPr>
        <w:t>监管部门用户登录</w:t>
      </w:r>
      <w:r>
        <w:tab/>
      </w:r>
      <w:r>
        <w:fldChar w:fldCharType="begin"/>
      </w:r>
      <w:r>
        <w:instrText xml:space="preserve"> PAGEREF _Toc28475 \h </w:instrText>
      </w:r>
      <w:r>
        <w:fldChar w:fldCharType="separate"/>
      </w:r>
      <w:r>
        <w:t>3</w:t>
      </w:r>
      <w:r>
        <w:fldChar w:fldCharType="end"/>
      </w:r>
      <w:r>
        <w:fldChar w:fldCharType="end"/>
      </w:r>
    </w:p>
    <w:p>
      <w:pPr>
        <w:pStyle w:val="25"/>
        <w:tabs>
          <w:tab w:val="right" w:leader="dot" w:pos="8306"/>
          <w:tab w:val="clear" w:pos="1260"/>
          <w:tab w:val="clear" w:pos="8302"/>
        </w:tabs>
      </w:pPr>
      <w:r>
        <w:fldChar w:fldCharType="begin"/>
      </w:r>
      <w:r>
        <w:instrText xml:space="preserve"> HYPERLINK \l _Toc22755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1.1. </w:t>
      </w:r>
      <w:r>
        <w:rPr>
          <w:rFonts w:hint="eastAsia"/>
        </w:rPr>
        <w:t>用户登录</w:t>
      </w:r>
      <w:r>
        <w:tab/>
      </w:r>
      <w:r>
        <w:fldChar w:fldCharType="begin"/>
      </w:r>
      <w:r>
        <w:instrText xml:space="preserve"> PAGEREF _Toc22755 \h </w:instrText>
      </w:r>
      <w:r>
        <w:fldChar w:fldCharType="separate"/>
      </w:r>
      <w:r>
        <w:t>3</w:t>
      </w:r>
      <w:r>
        <w:fldChar w:fldCharType="end"/>
      </w:r>
      <w:r>
        <w:fldChar w:fldCharType="end"/>
      </w:r>
    </w:p>
    <w:p>
      <w:pPr>
        <w:pStyle w:val="22"/>
        <w:tabs>
          <w:tab w:val="right" w:leader="dot" w:pos="8306"/>
        </w:tabs>
      </w:pPr>
      <w:r>
        <w:fldChar w:fldCharType="begin"/>
      </w:r>
      <w:r>
        <w:instrText xml:space="preserve"> HYPERLINK \l _Toc19364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 </w:t>
      </w:r>
      <w:r>
        <w:rPr>
          <w:rFonts w:hint="eastAsia"/>
        </w:rPr>
        <w:t>主体管理</w:t>
      </w:r>
      <w:r>
        <w:tab/>
      </w:r>
      <w:r>
        <w:fldChar w:fldCharType="begin"/>
      </w:r>
      <w:r>
        <w:instrText xml:space="preserve"> PAGEREF _Toc19364 \h </w:instrText>
      </w:r>
      <w:r>
        <w:fldChar w:fldCharType="separate"/>
      </w:r>
      <w:r>
        <w:t>4</w:t>
      </w:r>
      <w:r>
        <w:fldChar w:fldCharType="end"/>
      </w:r>
      <w:r>
        <w:fldChar w:fldCharType="end"/>
      </w:r>
    </w:p>
    <w:p>
      <w:pPr>
        <w:pStyle w:val="25"/>
        <w:tabs>
          <w:tab w:val="right" w:leader="dot" w:pos="8306"/>
          <w:tab w:val="clear" w:pos="1260"/>
          <w:tab w:val="clear" w:pos="8302"/>
        </w:tabs>
      </w:pPr>
      <w:r>
        <w:fldChar w:fldCharType="begin"/>
      </w:r>
      <w:r>
        <w:instrText xml:space="preserve"> HYPERLINK \l _Toc8803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2.1. </w:t>
      </w:r>
      <w:r>
        <w:rPr>
          <w:rFonts w:hint="eastAsia"/>
        </w:rPr>
        <w:t>审核采购单位用户库基本信息</w:t>
      </w:r>
      <w:r>
        <w:tab/>
      </w:r>
      <w:r>
        <w:fldChar w:fldCharType="begin"/>
      </w:r>
      <w:r>
        <w:instrText xml:space="preserve"> PAGEREF _Toc8803 \h </w:instrText>
      </w:r>
      <w:r>
        <w:fldChar w:fldCharType="separate"/>
      </w:r>
      <w:r>
        <w:t>4</w:t>
      </w:r>
      <w:r>
        <w:fldChar w:fldCharType="end"/>
      </w:r>
      <w:r>
        <w:fldChar w:fldCharType="end"/>
      </w:r>
    </w:p>
    <w:p>
      <w:pPr>
        <w:pStyle w:val="25"/>
        <w:tabs>
          <w:tab w:val="right" w:leader="dot" w:pos="8306"/>
          <w:tab w:val="clear" w:pos="1260"/>
          <w:tab w:val="clear" w:pos="8302"/>
        </w:tabs>
      </w:pPr>
      <w:r>
        <w:fldChar w:fldCharType="begin"/>
      </w:r>
      <w:r>
        <w:instrText xml:space="preserve"> HYPERLINK \l _Toc5775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2.2. </w:t>
      </w:r>
      <w:r>
        <w:rPr>
          <w:rFonts w:hint="eastAsia"/>
        </w:rPr>
        <w:t>查看采购单位用户库基本信息</w:t>
      </w:r>
      <w:r>
        <w:tab/>
      </w:r>
      <w:r>
        <w:fldChar w:fldCharType="begin"/>
      </w:r>
      <w:r>
        <w:instrText xml:space="preserve"> PAGEREF _Toc5775 \h </w:instrText>
      </w:r>
      <w:r>
        <w:fldChar w:fldCharType="separate"/>
      </w:r>
      <w:r>
        <w:t>4</w:t>
      </w:r>
      <w:r>
        <w:fldChar w:fldCharType="end"/>
      </w:r>
      <w:r>
        <w:fldChar w:fldCharType="end"/>
      </w:r>
    </w:p>
    <w:p>
      <w:pPr>
        <w:pStyle w:val="25"/>
        <w:tabs>
          <w:tab w:val="right" w:leader="dot" w:pos="8306"/>
          <w:tab w:val="clear" w:pos="1260"/>
          <w:tab w:val="clear" w:pos="8302"/>
        </w:tabs>
      </w:pPr>
      <w:r>
        <w:fldChar w:fldCharType="begin"/>
      </w:r>
      <w:r>
        <w:instrText xml:space="preserve"> HYPERLINK \l _Toc131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2.3. </w:t>
      </w:r>
      <w:r>
        <w:t>查看</w:t>
      </w:r>
      <w:r>
        <w:rPr>
          <w:rFonts w:hint="eastAsia"/>
        </w:rPr>
        <w:t>/解除隶属关系</w:t>
      </w:r>
      <w:r>
        <w:tab/>
      </w:r>
      <w:r>
        <w:fldChar w:fldCharType="begin"/>
      </w:r>
      <w:r>
        <w:instrText xml:space="preserve"> PAGEREF _Toc131 \h </w:instrText>
      </w:r>
      <w:r>
        <w:fldChar w:fldCharType="separate"/>
      </w:r>
      <w:r>
        <w:t>4</w:t>
      </w:r>
      <w:r>
        <w:fldChar w:fldCharType="end"/>
      </w:r>
      <w:r>
        <w:fldChar w:fldCharType="end"/>
      </w:r>
    </w:p>
    <w:p>
      <w:pPr>
        <w:pStyle w:val="22"/>
        <w:tabs>
          <w:tab w:val="right" w:leader="dot" w:pos="8306"/>
        </w:tabs>
      </w:pPr>
      <w:r>
        <w:fldChar w:fldCharType="begin"/>
      </w:r>
      <w:r>
        <w:instrText xml:space="preserve"> HYPERLINK \l _Toc8241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3. </w:t>
      </w:r>
      <w:r>
        <w:rPr>
          <w:rFonts w:hint="eastAsia"/>
          <w:lang w:val="en-US" w:eastAsia="zh-CN"/>
        </w:rPr>
        <w:t>一体化相关功能</w:t>
      </w:r>
      <w:r>
        <w:tab/>
      </w:r>
      <w:r>
        <w:fldChar w:fldCharType="begin"/>
      </w:r>
      <w:r>
        <w:instrText xml:space="preserve"> PAGEREF _Toc8241 \h </w:instrText>
      </w:r>
      <w:r>
        <w:fldChar w:fldCharType="separate"/>
      </w:r>
      <w:r>
        <w:t>5</w:t>
      </w:r>
      <w:r>
        <w:fldChar w:fldCharType="end"/>
      </w:r>
      <w:r>
        <w:fldChar w:fldCharType="end"/>
      </w:r>
    </w:p>
    <w:p>
      <w:pPr>
        <w:pStyle w:val="25"/>
        <w:tabs>
          <w:tab w:val="right" w:leader="dot" w:pos="8306"/>
          <w:tab w:val="clear" w:pos="1260"/>
          <w:tab w:val="clear" w:pos="8302"/>
        </w:tabs>
      </w:pPr>
      <w:r>
        <w:fldChar w:fldCharType="begin"/>
      </w:r>
      <w:r>
        <w:instrText xml:space="preserve"> HYPERLINK \l _Toc21946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3.1. </w:t>
      </w:r>
      <w:r>
        <w:rPr>
          <w:rFonts w:hint="eastAsia"/>
          <w:lang w:val="en-US" w:eastAsia="zh-CN"/>
        </w:rPr>
        <w:t>查看一体化平台推送的采购预算</w:t>
      </w:r>
      <w:r>
        <w:tab/>
      </w:r>
      <w:r>
        <w:fldChar w:fldCharType="begin"/>
      </w:r>
      <w:r>
        <w:instrText xml:space="preserve"> PAGEREF _Toc21946 \h </w:instrText>
      </w:r>
      <w:r>
        <w:fldChar w:fldCharType="separate"/>
      </w:r>
      <w:r>
        <w:t>5</w:t>
      </w:r>
      <w:r>
        <w:fldChar w:fldCharType="end"/>
      </w:r>
      <w:r>
        <w:fldChar w:fldCharType="end"/>
      </w:r>
    </w:p>
    <w:p>
      <w:pPr>
        <w:pStyle w:val="25"/>
        <w:tabs>
          <w:tab w:val="right" w:leader="dot" w:pos="8306"/>
          <w:tab w:val="clear" w:pos="1260"/>
          <w:tab w:val="clear" w:pos="8302"/>
        </w:tabs>
      </w:pPr>
      <w:r>
        <w:fldChar w:fldCharType="begin"/>
      </w:r>
      <w:r>
        <w:instrText xml:space="preserve"> HYPERLINK \l _Toc12244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3.2. </w:t>
      </w:r>
      <w:r>
        <w:rPr>
          <w:rFonts w:hint="eastAsia"/>
          <w:lang w:val="en-US" w:eastAsia="zh-CN"/>
        </w:rPr>
        <w:t>查看一体化平台推送的采购预算单位基本信息</w:t>
      </w:r>
      <w:r>
        <w:tab/>
      </w:r>
      <w:r>
        <w:fldChar w:fldCharType="begin"/>
      </w:r>
      <w:r>
        <w:instrText xml:space="preserve"> PAGEREF _Toc12244 \h </w:instrText>
      </w:r>
      <w:r>
        <w:fldChar w:fldCharType="separate"/>
      </w:r>
      <w:r>
        <w:t>5</w:t>
      </w:r>
      <w:r>
        <w:fldChar w:fldCharType="end"/>
      </w:r>
      <w:r>
        <w:fldChar w:fldCharType="end"/>
      </w:r>
    </w:p>
    <w:p>
      <w:pPr>
        <w:pStyle w:val="25"/>
        <w:tabs>
          <w:tab w:val="right" w:leader="dot" w:pos="8306"/>
          <w:tab w:val="clear" w:pos="1260"/>
          <w:tab w:val="clear" w:pos="8302"/>
        </w:tabs>
      </w:pPr>
      <w:r>
        <w:fldChar w:fldCharType="begin"/>
      </w:r>
      <w:r>
        <w:instrText xml:space="preserve"> HYPERLINK \l _Toc18454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3.3. </w:t>
      </w:r>
      <w:r>
        <w:rPr>
          <w:rFonts w:hint="eastAsia"/>
          <w:lang w:val="en-US" w:eastAsia="zh-CN"/>
        </w:rPr>
        <w:t>查看政府采购系统合同信息推送到一体化平台</w:t>
      </w:r>
      <w:r>
        <w:tab/>
      </w:r>
      <w:r>
        <w:fldChar w:fldCharType="begin"/>
      </w:r>
      <w:r>
        <w:instrText xml:space="preserve"> PAGEREF _Toc18454 \h </w:instrText>
      </w:r>
      <w:r>
        <w:fldChar w:fldCharType="separate"/>
      </w:r>
      <w:r>
        <w:t>6</w:t>
      </w:r>
      <w:r>
        <w:fldChar w:fldCharType="end"/>
      </w:r>
      <w:r>
        <w:fldChar w:fldCharType="end"/>
      </w:r>
    </w:p>
    <w:p>
      <w:pPr>
        <w:pStyle w:val="25"/>
        <w:tabs>
          <w:tab w:val="right" w:leader="dot" w:pos="8306"/>
          <w:tab w:val="clear" w:pos="1260"/>
          <w:tab w:val="clear" w:pos="8302"/>
        </w:tabs>
      </w:pPr>
      <w:r>
        <w:fldChar w:fldCharType="begin"/>
      </w:r>
      <w:r>
        <w:instrText xml:space="preserve"> HYPERLINK \l _Toc1941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3.4. </w:t>
      </w:r>
      <w:r>
        <w:rPr>
          <w:rFonts w:hint="eastAsia"/>
          <w:lang w:val="en-US" w:eastAsia="zh-CN"/>
        </w:rPr>
        <w:t>查看一体化平台推送的一体化支付凭证</w:t>
      </w:r>
      <w:r>
        <w:tab/>
      </w:r>
      <w:r>
        <w:fldChar w:fldCharType="begin"/>
      </w:r>
      <w:r>
        <w:instrText xml:space="preserve"> PAGEREF _Toc1941 \h </w:instrText>
      </w:r>
      <w:r>
        <w:fldChar w:fldCharType="separate"/>
      </w:r>
      <w:r>
        <w:t>6</w:t>
      </w:r>
      <w:r>
        <w:fldChar w:fldCharType="end"/>
      </w:r>
      <w:r>
        <w:fldChar w:fldCharType="end"/>
      </w:r>
    </w:p>
    <w:p>
      <w:pPr>
        <w:pStyle w:val="25"/>
        <w:tabs>
          <w:tab w:val="right" w:leader="dot" w:pos="8306"/>
          <w:tab w:val="clear" w:pos="1260"/>
          <w:tab w:val="clear" w:pos="8302"/>
        </w:tabs>
      </w:pPr>
      <w:r>
        <w:fldChar w:fldCharType="begin"/>
      </w:r>
      <w:r>
        <w:instrText xml:space="preserve"> HYPERLINK \l _Toc31862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3.5. </w:t>
      </w:r>
      <w:r>
        <w:rPr>
          <w:rFonts w:hint="eastAsia"/>
          <w:lang w:val="en-US" w:eastAsia="zh-CN"/>
        </w:rPr>
        <w:t>一体化预算管理重置预算匹配</w:t>
      </w:r>
      <w:r>
        <w:tab/>
      </w:r>
      <w:r>
        <w:fldChar w:fldCharType="begin"/>
      </w:r>
      <w:r>
        <w:instrText xml:space="preserve"> PAGEREF _Toc31862 \h </w:instrText>
      </w:r>
      <w:r>
        <w:fldChar w:fldCharType="separate"/>
      </w:r>
      <w:r>
        <w:t>7</w:t>
      </w:r>
      <w:r>
        <w:fldChar w:fldCharType="end"/>
      </w:r>
      <w:r>
        <w:fldChar w:fldCharType="end"/>
      </w:r>
    </w:p>
    <w:p>
      <w:pPr>
        <w:pStyle w:val="22"/>
        <w:tabs>
          <w:tab w:val="right" w:leader="dot" w:pos="8306"/>
        </w:tabs>
      </w:pPr>
      <w:r>
        <w:fldChar w:fldCharType="begin"/>
      </w:r>
      <w:r>
        <w:instrText xml:space="preserve"> HYPERLINK \l _Toc24355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 </w:t>
      </w:r>
      <w:r>
        <w:t>政府采购业务系统管理</w:t>
      </w:r>
      <w:r>
        <w:tab/>
      </w:r>
      <w:r>
        <w:fldChar w:fldCharType="begin"/>
      </w:r>
      <w:r>
        <w:instrText xml:space="preserve"> PAGEREF _Toc24355 \h </w:instrText>
      </w:r>
      <w:r>
        <w:fldChar w:fldCharType="separate"/>
      </w:r>
      <w:r>
        <w:t>7</w:t>
      </w:r>
      <w:r>
        <w:fldChar w:fldCharType="end"/>
      </w:r>
      <w:r>
        <w:fldChar w:fldCharType="end"/>
      </w:r>
    </w:p>
    <w:p>
      <w:pPr>
        <w:pStyle w:val="25"/>
        <w:tabs>
          <w:tab w:val="right" w:leader="dot" w:pos="8306"/>
          <w:tab w:val="clear" w:pos="1260"/>
          <w:tab w:val="clear" w:pos="8302"/>
        </w:tabs>
      </w:pPr>
      <w:r>
        <w:fldChar w:fldCharType="begin"/>
      </w:r>
      <w:r>
        <w:instrText xml:space="preserve"> HYPERLINK \l _Toc8413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4.1. </w:t>
      </w:r>
      <w:r>
        <w:t>政府采购业务系统管理</w:t>
      </w:r>
      <w:r>
        <w:tab/>
      </w:r>
      <w:r>
        <w:fldChar w:fldCharType="begin"/>
      </w:r>
      <w:r>
        <w:instrText xml:space="preserve"> PAGEREF _Toc8413 \h </w:instrText>
      </w:r>
      <w:r>
        <w:fldChar w:fldCharType="separate"/>
      </w:r>
      <w:r>
        <w:t>7</w:t>
      </w:r>
      <w:r>
        <w:fldChar w:fldCharType="end"/>
      </w:r>
      <w:r>
        <w:fldChar w:fldCharType="end"/>
      </w:r>
    </w:p>
    <w:p>
      <w:pPr>
        <w:pStyle w:val="25"/>
        <w:tabs>
          <w:tab w:val="right" w:leader="dot" w:pos="8306"/>
          <w:tab w:val="clear" w:pos="1260"/>
          <w:tab w:val="clear" w:pos="8302"/>
        </w:tabs>
      </w:pPr>
      <w:r>
        <w:fldChar w:fldCharType="begin"/>
      </w:r>
      <w:r>
        <w:instrText xml:space="preserve"> HYPERLINK \l _Toc21853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4.2. </w:t>
      </w:r>
      <w:r>
        <w:rPr>
          <w:rFonts w:hint="eastAsia"/>
          <w:lang w:val="en-US" w:eastAsia="zh-CN"/>
        </w:rPr>
        <w:t>新-手动推送合同备案</w:t>
      </w:r>
      <w:r>
        <w:tab/>
      </w:r>
      <w:r>
        <w:fldChar w:fldCharType="begin"/>
      </w:r>
      <w:r>
        <w:instrText xml:space="preserve"> PAGEREF _Toc21853 \h </w:instrText>
      </w:r>
      <w:r>
        <w:fldChar w:fldCharType="separate"/>
      </w:r>
      <w:r>
        <w:t>8</w:t>
      </w:r>
      <w:r>
        <w:fldChar w:fldCharType="end"/>
      </w:r>
      <w:r>
        <w:fldChar w:fldCharType="end"/>
      </w:r>
    </w:p>
    <w:p>
      <w:pPr>
        <w:pStyle w:val="25"/>
        <w:tabs>
          <w:tab w:val="right" w:leader="dot" w:pos="8306"/>
          <w:tab w:val="clear" w:pos="1260"/>
          <w:tab w:val="clear" w:pos="8302"/>
        </w:tabs>
      </w:pPr>
      <w:r>
        <w:fldChar w:fldCharType="begin"/>
      </w:r>
      <w:r>
        <w:instrText xml:space="preserve"> HYPERLINK \l _Toc26117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4.3. </w:t>
      </w:r>
      <w:r>
        <w:t>计划管理</w:t>
      </w:r>
      <w:r>
        <w:tab/>
      </w:r>
      <w:r>
        <w:fldChar w:fldCharType="begin"/>
      </w:r>
      <w:r>
        <w:instrText xml:space="preserve"> PAGEREF _Toc26117 \h </w:instrText>
      </w:r>
      <w:r>
        <w:fldChar w:fldCharType="separate"/>
      </w:r>
      <w:r>
        <w:t>9</w:t>
      </w:r>
      <w:r>
        <w:fldChar w:fldCharType="end"/>
      </w:r>
      <w:r>
        <w:fldChar w:fldCharType="end"/>
      </w:r>
    </w:p>
    <w:p>
      <w:pPr>
        <w:pStyle w:val="25"/>
        <w:tabs>
          <w:tab w:val="right" w:leader="dot" w:pos="8306"/>
          <w:tab w:val="clear" w:pos="1260"/>
          <w:tab w:val="clear" w:pos="8302"/>
        </w:tabs>
      </w:pPr>
      <w:r>
        <w:fldChar w:fldCharType="begin"/>
      </w:r>
      <w:r>
        <w:instrText xml:space="preserve"> HYPERLINK \l _Toc6147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4.4. </w:t>
      </w:r>
      <w:r>
        <w:rPr>
          <w:rFonts w:hint="eastAsia"/>
          <w:lang w:val="en-US" w:eastAsia="zh-CN"/>
        </w:rPr>
        <w:t>预算管理</w:t>
      </w:r>
      <w:r>
        <w:tab/>
      </w:r>
      <w:r>
        <w:fldChar w:fldCharType="begin"/>
      </w:r>
      <w:r>
        <w:instrText xml:space="preserve"> PAGEREF _Toc6147 \h </w:instrText>
      </w:r>
      <w:r>
        <w:fldChar w:fldCharType="separate"/>
      </w:r>
      <w:r>
        <w:t>9</w:t>
      </w:r>
      <w:r>
        <w:fldChar w:fldCharType="end"/>
      </w:r>
      <w:r>
        <w:fldChar w:fldCharType="end"/>
      </w:r>
    </w:p>
    <w:p>
      <w:pPr>
        <w:pStyle w:val="25"/>
        <w:tabs>
          <w:tab w:val="right" w:leader="dot" w:pos="8306"/>
          <w:tab w:val="clear" w:pos="1260"/>
          <w:tab w:val="clear" w:pos="8302"/>
        </w:tabs>
      </w:pPr>
      <w:r>
        <w:fldChar w:fldCharType="begin"/>
      </w:r>
      <w:r>
        <w:instrText xml:space="preserve"> HYPERLINK \l _Toc19160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4.5. </w:t>
      </w:r>
      <w:r>
        <w:t>协议采购</w:t>
      </w:r>
      <w:r>
        <w:tab/>
      </w:r>
      <w:r>
        <w:fldChar w:fldCharType="begin"/>
      </w:r>
      <w:r>
        <w:instrText xml:space="preserve"> PAGEREF _Toc19160 \h </w:instrText>
      </w:r>
      <w:r>
        <w:fldChar w:fldCharType="separate"/>
      </w:r>
      <w:r>
        <w:t>10</w:t>
      </w:r>
      <w:r>
        <w:fldChar w:fldCharType="end"/>
      </w:r>
      <w:r>
        <w:fldChar w:fldCharType="end"/>
      </w:r>
    </w:p>
    <w:p>
      <w:pPr>
        <w:pStyle w:val="25"/>
        <w:tabs>
          <w:tab w:val="right" w:leader="dot" w:pos="8306"/>
          <w:tab w:val="clear" w:pos="1260"/>
          <w:tab w:val="clear" w:pos="8302"/>
        </w:tabs>
      </w:pPr>
      <w:r>
        <w:fldChar w:fldCharType="begin"/>
      </w:r>
      <w:r>
        <w:instrText xml:space="preserve"> HYPERLINK \l _Toc14809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4.6. </w:t>
      </w:r>
      <w:r>
        <w:t>公告及文件查看</w:t>
      </w:r>
      <w:r>
        <w:tab/>
      </w:r>
      <w:r>
        <w:fldChar w:fldCharType="begin"/>
      </w:r>
      <w:r>
        <w:instrText xml:space="preserve"> PAGEREF _Toc14809 \h </w:instrText>
      </w:r>
      <w:r>
        <w:fldChar w:fldCharType="separate"/>
      </w:r>
      <w:r>
        <w:t>11</w:t>
      </w:r>
      <w:r>
        <w:fldChar w:fldCharType="end"/>
      </w:r>
      <w:r>
        <w:fldChar w:fldCharType="end"/>
      </w:r>
    </w:p>
    <w:p>
      <w:pPr>
        <w:pStyle w:val="25"/>
        <w:tabs>
          <w:tab w:val="right" w:leader="dot" w:pos="8306"/>
          <w:tab w:val="clear" w:pos="1260"/>
          <w:tab w:val="clear" w:pos="8302"/>
        </w:tabs>
      </w:pPr>
      <w:r>
        <w:fldChar w:fldCharType="begin"/>
      </w:r>
      <w:r>
        <w:instrText xml:space="preserve"> HYPERLINK \l _Toc28805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4.7. </w:t>
      </w:r>
      <w:r>
        <w:t>异常处理</w:t>
      </w:r>
      <w:r>
        <w:tab/>
      </w:r>
      <w:r>
        <w:fldChar w:fldCharType="begin"/>
      </w:r>
      <w:r>
        <w:instrText xml:space="preserve"> PAGEREF _Toc28805 \h </w:instrText>
      </w:r>
      <w:r>
        <w:fldChar w:fldCharType="separate"/>
      </w:r>
      <w:r>
        <w:t>11</w:t>
      </w:r>
      <w:r>
        <w:fldChar w:fldCharType="end"/>
      </w:r>
      <w:r>
        <w:fldChar w:fldCharType="end"/>
      </w:r>
    </w:p>
    <w:p>
      <w:pPr>
        <w:pStyle w:val="25"/>
        <w:tabs>
          <w:tab w:val="right" w:leader="dot" w:pos="8306"/>
          <w:tab w:val="clear" w:pos="1260"/>
          <w:tab w:val="clear" w:pos="8302"/>
        </w:tabs>
      </w:pPr>
      <w:r>
        <w:fldChar w:fldCharType="begin"/>
      </w:r>
      <w:r>
        <w:instrText xml:space="preserve"> HYPERLINK \l _Toc13032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4.8. </w:t>
      </w:r>
      <w:r>
        <w:t>查询</w:t>
      </w:r>
      <w:r>
        <w:tab/>
      </w:r>
      <w:r>
        <w:fldChar w:fldCharType="begin"/>
      </w:r>
      <w:r>
        <w:instrText xml:space="preserve"> PAGEREF _Toc13032 \h </w:instrText>
      </w:r>
      <w:r>
        <w:fldChar w:fldCharType="separate"/>
      </w:r>
      <w:r>
        <w:t>12</w:t>
      </w:r>
      <w:r>
        <w:fldChar w:fldCharType="end"/>
      </w:r>
      <w:r>
        <w:fldChar w:fldCharType="end"/>
      </w:r>
    </w:p>
    <w:p>
      <w:pPr>
        <w:pStyle w:val="25"/>
        <w:tabs>
          <w:tab w:val="right" w:leader="dot" w:pos="8306"/>
          <w:tab w:val="clear" w:pos="1260"/>
          <w:tab w:val="clear" w:pos="8302"/>
        </w:tabs>
      </w:pPr>
      <w:r>
        <w:fldChar w:fldCharType="begin"/>
      </w:r>
      <w:r>
        <w:instrText xml:space="preserve"> HYPERLINK \l _Toc9275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4.9. </w:t>
      </w:r>
      <w:r>
        <w:t>备案</w:t>
      </w:r>
      <w:r>
        <w:tab/>
      </w:r>
      <w:r>
        <w:fldChar w:fldCharType="begin"/>
      </w:r>
      <w:r>
        <w:instrText xml:space="preserve"> PAGEREF _Toc9275 \h </w:instrText>
      </w:r>
      <w:r>
        <w:fldChar w:fldCharType="separate"/>
      </w:r>
      <w:r>
        <w:t>12</w:t>
      </w:r>
      <w:r>
        <w:fldChar w:fldCharType="end"/>
      </w:r>
      <w:r>
        <w:fldChar w:fldCharType="end"/>
      </w:r>
    </w:p>
    <w:p>
      <w:pPr>
        <w:pStyle w:val="25"/>
        <w:tabs>
          <w:tab w:val="right" w:leader="dot" w:pos="8306"/>
          <w:tab w:val="clear" w:pos="1260"/>
          <w:tab w:val="clear" w:pos="8302"/>
        </w:tabs>
      </w:pPr>
      <w:r>
        <w:fldChar w:fldCharType="begin"/>
      </w:r>
      <w:r>
        <w:instrText xml:space="preserve"> HYPERLINK \l _Toc9154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4.10. </w:t>
      </w:r>
      <w:r>
        <w:rPr>
          <w:rFonts w:hint="eastAsia"/>
        </w:rPr>
        <w:t>支付审核</w:t>
      </w:r>
      <w:r>
        <w:tab/>
      </w:r>
      <w:r>
        <w:fldChar w:fldCharType="begin"/>
      </w:r>
      <w:r>
        <w:instrText xml:space="preserve"> PAGEREF _Toc9154 \h </w:instrText>
      </w:r>
      <w:r>
        <w:fldChar w:fldCharType="separate"/>
      </w:r>
      <w:r>
        <w:t>12</w:t>
      </w:r>
      <w:r>
        <w:fldChar w:fldCharType="end"/>
      </w:r>
      <w:r>
        <w:fldChar w:fldCharType="end"/>
      </w:r>
    </w:p>
    <w:p>
      <w:pPr>
        <w:pStyle w:val="25"/>
        <w:tabs>
          <w:tab w:val="right" w:leader="dot" w:pos="8306"/>
          <w:tab w:val="clear" w:pos="1260"/>
          <w:tab w:val="clear" w:pos="8302"/>
        </w:tabs>
      </w:pPr>
      <w:r>
        <w:fldChar w:fldCharType="begin"/>
      </w:r>
      <w:r>
        <w:instrText xml:space="preserve"> HYPERLINK \l _Toc29657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4.11. </w:t>
      </w:r>
      <w:r>
        <w:rPr>
          <w:rFonts w:hint="eastAsia"/>
        </w:rPr>
        <w:t>专家</w:t>
      </w:r>
      <w:r>
        <w:t>管理</w:t>
      </w:r>
      <w:r>
        <w:tab/>
      </w:r>
      <w:r>
        <w:fldChar w:fldCharType="begin"/>
      </w:r>
      <w:r>
        <w:instrText xml:space="preserve"> PAGEREF _Toc29657 \h </w:instrText>
      </w:r>
      <w:r>
        <w:fldChar w:fldCharType="separate"/>
      </w:r>
      <w:r>
        <w:t>12</w:t>
      </w:r>
      <w:r>
        <w:fldChar w:fldCharType="end"/>
      </w:r>
      <w:r>
        <w:fldChar w:fldCharType="end"/>
      </w:r>
    </w:p>
    <w:p>
      <w:r>
        <w:fldChar w:fldCharType="end"/>
      </w:r>
    </w:p>
    <w:p/>
    <w:p/>
    <w:p/>
    <w:p/>
    <w:p/>
    <w:p/>
    <w:p/>
    <w:p/>
    <w:p/>
    <w:p/>
    <w:p/>
    <w:p/>
    <w:p/>
    <w:p/>
    <w:p/>
    <w:p>
      <w:pPr>
        <w:pStyle w:val="2"/>
      </w:pPr>
      <w:bookmarkStart w:id="0" w:name="_Toc28475"/>
      <w:r>
        <w:rPr>
          <w:rFonts w:hint="eastAsia"/>
        </w:rPr>
        <w:t>监管部门用户登录</w:t>
      </w:r>
      <w:bookmarkEnd w:id="0"/>
    </w:p>
    <w:p>
      <w:pPr>
        <w:pStyle w:val="3"/>
        <w:ind w:left="777" w:leftChars="0" w:firstLineChars="0"/>
      </w:pPr>
      <w:bookmarkStart w:id="1" w:name="_Toc22755"/>
      <w:r>
        <w:rPr>
          <w:rFonts w:hint="eastAsia"/>
        </w:rPr>
        <w:t>用户登录</w:t>
      </w:r>
      <w:bookmarkEnd w:id="1"/>
    </w:p>
    <w:p>
      <w:pPr>
        <w:pStyle w:val="45"/>
        <w:numPr>
          <w:ilvl w:val="0"/>
          <w:numId w:val="2"/>
        </w:numPr>
        <w:ind w:firstLineChars="0"/>
        <w:rPr>
          <w:szCs w:val="21"/>
        </w:rPr>
      </w:pPr>
      <w:r>
        <w:rPr>
          <w:rFonts w:hint="eastAsia"/>
          <w:szCs w:val="21"/>
        </w:rPr>
        <w:t>进江西省公共资源交易系统，点击监督部门登录；</w:t>
      </w:r>
    </w:p>
    <w:p>
      <w:pPr>
        <w:ind w:left="284"/>
        <w:rPr>
          <w:b/>
          <w:szCs w:val="21"/>
        </w:rPr>
      </w:pPr>
      <w:r>
        <w:rPr>
          <w:rFonts w:hint="eastAsia"/>
          <w:b/>
          <w:szCs w:val="21"/>
        </w:rPr>
        <w:t>网址：</w:t>
      </w:r>
      <w:r>
        <w:rPr>
          <w:b/>
          <w:szCs w:val="21"/>
        </w:rPr>
        <w:t>http://www.jxsggzy.cn/web/</w:t>
      </w:r>
    </w:p>
    <w:p>
      <w:pPr>
        <w:jc w:val="center"/>
        <w:rPr>
          <w:szCs w:val="21"/>
        </w:rPr>
      </w:pPr>
      <w:r>
        <w:drawing>
          <wp:inline distT="0" distB="0" distL="114300" distR="114300">
            <wp:extent cx="5267960" cy="3354705"/>
            <wp:effectExtent l="0" t="0" r="889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7960" cy="3354705"/>
                    </a:xfrm>
                    <a:prstGeom prst="rect">
                      <a:avLst/>
                    </a:prstGeom>
                    <a:noFill/>
                    <a:ln w="9525">
                      <a:noFill/>
                    </a:ln>
                  </pic:spPr>
                </pic:pic>
              </a:graphicData>
            </a:graphic>
          </wp:inline>
        </w:drawing>
      </w:r>
    </w:p>
    <w:p>
      <w:pPr>
        <w:pStyle w:val="45"/>
        <w:numPr>
          <w:ilvl w:val="0"/>
          <w:numId w:val="2"/>
        </w:numPr>
        <w:ind w:firstLineChars="0"/>
        <w:rPr>
          <w:szCs w:val="21"/>
        </w:rPr>
      </w:pPr>
      <w:r>
        <w:rPr>
          <w:rFonts w:hint="eastAsia"/>
          <w:szCs w:val="21"/>
        </w:rPr>
        <w:t>输入用户名、密码；界面展示：</w:t>
      </w:r>
    </w:p>
    <w:p>
      <w:pPr>
        <w:jc w:val="center"/>
        <w:rPr>
          <w:szCs w:val="21"/>
        </w:rPr>
      </w:pPr>
      <w:r>
        <w:drawing>
          <wp:inline distT="0" distB="0" distL="114300" distR="114300">
            <wp:extent cx="5266055" cy="2446655"/>
            <wp:effectExtent l="0" t="0" r="10795"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66055" cy="2446655"/>
                    </a:xfrm>
                    <a:prstGeom prst="rect">
                      <a:avLst/>
                    </a:prstGeom>
                    <a:noFill/>
                    <a:ln w="9525">
                      <a:noFill/>
                    </a:ln>
                  </pic:spPr>
                </pic:pic>
              </a:graphicData>
            </a:graphic>
          </wp:inline>
        </w:drawing>
      </w:r>
    </w:p>
    <w:p>
      <w:r>
        <w:rPr>
          <w:rFonts w:hint="eastAsia"/>
        </w:rPr>
        <w:t xml:space="preserve">     </w:t>
      </w:r>
    </w:p>
    <w:p>
      <w:pPr>
        <w:pStyle w:val="2"/>
      </w:pPr>
      <w:bookmarkStart w:id="2" w:name="_Toc19364"/>
      <w:bookmarkStart w:id="3" w:name="_Toc332110307"/>
      <w:r>
        <w:rPr>
          <w:rFonts w:hint="eastAsia"/>
        </w:rPr>
        <w:t>主体管理</w:t>
      </w:r>
      <w:bookmarkEnd w:id="2"/>
    </w:p>
    <w:bookmarkEnd w:id="3"/>
    <w:p>
      <w:pPr>
        <w:pStyle w:val="3"/>
        <w:ind w:left="777" w:leftChars="0" w:firstLineChars="0"/>
      </w:pPr>
      <w:bookmarkStart w:id="4" w:name="_Toc8803"/>
      <w:r>
        <w:rPr>
          <w:rFonts w:hint="eastAsia"/>
        </w:rPr>
        <w:t>审核采购单位用户库基本信息</w:t>
      </w:r>
      <w:bookmarkEnd w:id="4"/>
    </w:p>
    <w:p>
      <w:pPr>
        <w:ind w:firstLine="420"/>
        <w:rPr>
          <w:szCs w:val="21"/>
        </w:rPr>
      </w:pPr>
      <w:r>
        <w:rPr>
          <w:rFonts w:hint="eastAsia"/>
          <w:szCs w:val="21"/>
        </w:rPr>
        <w:t>采购预算单位完善并提交了用户库基本信息后，需经过辖区监管部门（以下简称采购办）审核用户库基本信息，审核通过的采购预算单位，方可成为系统的</w:t>
      </w:r>
      <w:r>
        <w:rPr>
          <w:rFonts w:hint="eastAsia"/>
          <w:b/>
          <w:szCs w:val="21"/>
        </w:rPr>
        <w:t>正式库</w:t>
      </w:r>
      <w:r>
        <w:rPr>
          <w:rFonts w:hint="eastAsia"/>
          <w:szCs w:val="21"/>
        </w:rPr>
        <w:t>会员并且开展采购业务活动。</w:t>
      </w:r>
    </w:p>
    <w:p>
      <w:pPr>
        <w:ind w:firstLine="420"/>
        <w:rPr>
          <w:rFonts w:hint="eastAsia"/>
          <w:szCs w:val="21"/>
        </w:rPr>
      </w:pPr>
      <w:r>
        <w:rPr>
          <w:rFonts w:hint="eastAsia"/>
          <w:szCs w:val="21"/>
        </w:rPr>
        <w:t>如何审核采购预算单位用户库基本信息？操作如下：</w:t>
      </w:r>
    </w:p>
    <w:p>
      <w:pPr>
        <w:ind w:firstLine="420"/>
        <w:rPr>
          <w:rFonts w:hint="default" w:eastAsia="宋体"/>
          <w:b/>
          <w:bCs/>
          <w:color w:val="FF0000"/>
          <w:szCs w:val="21"/>
          <w:lang w:val="en-US" w:eastAsia="zh-CN"/>
        </w:rPr>
      </w:pPr>
      <w:r>
        <w:rPr>
          <w:rFonts w:hint="eastAsia"/>
          <w:b/>
          <w:bCs/>
          <w:color w:val="FF0000"/>
          <w:szCs w:val="21"/>
          <w:lang w:val="en-US" w:eastAsia="zh-CN"/>
        </w:rPr>
        <w:t>审核采购预算单位基本信息时，请先核对一下采购预算单位基本信息中单位预算编码是否同一体化平台的预算编码一致，否则退回去重新修改提交审核。</w:t>
      </w:r>
    </w:p>
    <w:p>
      <w:pPr>
        <w:pStyle w:val="45"/>
        <w:numPr>
          <w:ilvl w:val="0"/>
          <w:numId w:val="3"/>
        </w:numPr>
        <w:ind w:firstLineChars="0"/>
        <w:rPr>
          <w:szCs w:val="21"/>
        </w:rPr>
      </w:pPr>
      <w:r>
        <w:rPr>
          <w:rFonts w:hint="eastAsia"/>
          <w:szCs w:val="21"/>
        </w:rPr>
        <w:t>在用户库管理模块下，点击“主体管理----招标人管理----采购单位----审核采购单位信息”菜单，采购办可以审核本辖区内的所有预算单位用户库基本信息。如下图所示：</w:t>
      </w:r>
    </w:p>
    <w:p>
      <w:pPr>
        <w:jc w:val="center"/>
        <w:rPr>
          <w:szCs w:val="21"/>
        </w:rPr>
      </w:pPr>
    </w:p>
    <w:p>
      <w:pPr>
        <w:pStyle w:val="3"/>
        <w:ind w:left="777" w:leftChars="0" w:firstLineChars="0"/>
      </w:pPr>
      <w:bookmarkStart w:id="5" w:name="_Toc5775"/>
      <w:r>
        <w:rPr>
          <w:rFonts w:hint="eastAsia"/>
        </w:rPr>
        <w:t>查看采购单位用户库基本信息</w:t>
      </w:r>
      <w:bookmarkEnd w:id="5"/>
    </w:p>
    <w:p>
      <w:r>
        <w:t>采购预算单位的基本信息审核通过之后</w:t>
      </w:r>
      <w:r>
        <w:rPr>
          <w:rFonts w:hint="eastAsia"/>
        </w:rPr>
        <w:t>，</w:t>
      </w:r>
      <w:r>
        <w:t>可以在查看采购单位信息菜单中</w:t>
      </w:r>
      <w:r>
        <w:rPr>
          <w:rFonts w:hint="eastAsia"/>
        </w:rPr>
        <w:t>，</w:t>
      </w:r>
      <w:r>
        <w:t>查看到某个已经成为正式库会员的采购单位用户库基本信息</w:t>
      </w:r>
      <w:r>
        <w:rPr>
          <w:rFonts w:hint="eastAsia"/>
        </w:rPr>
        <w:t>。</w:t>
      </w:r>
    </w:p>
    <w:p>
      <w:r>
        <w:t>操作如下</w:t>
      </w:r>
      <w:r>
        <w:rPr>
          <w:rFonts w:hint="eastAsia"/>
        </w:rPr>
        <w:t>：</w:t>
      </w:r>
    </w:p>
    <w:p>
      <w:pPr>
        <w:pStyle w:val="45"/>
        <w:numPr>
          <w:ilvl w:val="0"/>
          <w:numId w:val="4"/>
        </w:numPr>
        <w:ind w:firstLineChars="0"/>
        <w:rPr>
          <w:szCs w:val="21"/>
        </w:rPr>
      </w:pPr>
      <w:r>
        <w:rPr>
          <w:rFonts w:hint="eastAsia"/>
          <w:szCs w:val="21"/>
        </w:rPr>
        <w:t>在用户库管理模块下，点击“主体管理----采购单位----查看采购单位信息”菜单，采购办可以查看本辖区内的预算单位用户库基本信息。如下图所示：</w:t>
      </w:r>
    </w:p>
    <w:p>
      <w:pPr>
        <w:jc w:val="center"/>
        <w:rPr>
          <w:szCs w:val="21"/>
        </w:rPr>
      </w:pPr>
      <w:r>
        <w:rPr>
          <w:szCs w:val="21"/>
        </w:rPr>
        <w:drawing>
          <wp:inline distT="0" distB="0" distL="0" distR="0">
            <wp:extent cx="5311140" cy="2478405"/>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322371" cy="2483493"/>
                    </a:xfrm>
                    <a:prstGeom prst="rect">
                      <a:avLst/>
                    </a:prstGeom>
                  </pic:spPr>
                </pic:pic>
              </a:graphicData>
            </a:graphic>
          </wp:inline>
        </w:drawing>
      </w:r>
    </w:p>
    <w:p>
      <w:pPr>
        <w:pStyle w:val="3"/>
        <w:ind w:left="777" w:leftChars="0" w:firstLineChars="0"/>
      </w:pPr>
      <w:bookmarkStart w:id="6" w:name="_Toc131"/>
      <w:r>
        <w:t>查看</w:t>
      </w:r>
      <w:r>
        <w:rPr>
          <w:rFonts w:hint="eastAsia"/>
        </w:rPr>
        <w:t>/解除隶属关系</w:t>
      </w:r>
      <w:bookmarkEnd w:id="6"/>
    </w:p>
    <w:p>
      <w:r>
        <w:t>下级预算单位和主管预算单位</w:t>
      </w:r>
      <w:r>
        <w:rPr>
          <w:rFonts w:hint="eastAsia"/>
        </w:rPr>
        <w:t>，</w:t>
      </w:r>
      <w:r>
        <w:t>会在用户系统中建立隶属关系</w:t>
      </w:r>
      <w:r>
        <w:rPr>
          <w:rFonts w:hint="eastAsia"/>
        </w:rPr>
        <w:t>。例如：南昌市教育局是主管预算单位，他下面会有很多下级预算单位，如南昌市教育局本级、南昌市第一中学等等；下级预算单位需要先在系统中设置自己的主管预算单位，然后主管预算单位完成确认隶属关系。</w:t>
      </w:r>
    </w:p>
    <w:p>
      <w:r>
        <w:rPr>
          <w:rFonts w:hint="eastAsia"/>
        </w:rPr>
        <w:t>考虑到系统更新后，可能会有部分下级预算单位胡乱挑选、错误挑选到不是自己的主管预算单位，出现无法联系到主管预算单位或者无法继续操作的问题。所以我们系统给采购办新增了一个查看/解除隶属关系的菜单，供采购办监管人员退回有误的、存在问题的隶属关系。</w:t>
      </w:r>
    </w:p>
    <w:p>
      <w:r>
        <w:rPr>
          <w:rFonts w:hint="eastAsia"/>
        </w:rPr>
        <w:t>大致界面展示操作如下：</w:t>
      </w:r>
    </w:p>
    <w:p>
      <w:r>
        <w:drawing>
          <wp:inline distT="0" distB="0" distL="0" distR="0">
            <wp:extent cx="5443855" cy="2540000"/>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1"/>
                    <a:stretch>
                      <a:fillRect/>
                    </a:stretch>
                  </pic:blipFill>
                  <pic:spPr>
                    <a:xfrm>
                      <a:off x="0" y="0"/>
                      <a:ext cx="5450604" cy="2543329"/>
                    </a:xfrm>
                    <a:prstGeom prst="rect">
                      <a:avLst/>
                    </a:prstGeom>
                  </pic:spPr>
                </pic:pic>
              </a:graphicData>
            </a:graphic>
          </wp:inline>
        </w:drawing>
      </w:r>
    </w:p>
    <w:p>
      <w:pPr>
        <w:pStyle w:val="2"/>
        <w:bidi w:val="0"/>
        <w:rPr>
          <w:rFonts w:hint="default"/>
          <w:lang w:val="en-US" w:eastAsia="zh-CN"/>
        </w:rPr>
      </w:pPr>
      <w:bookmarkStart w:id="7" w:name="_Toc8241"/>
      <w:r>
        <w:rPr>
          <w:rFonts w:hint="eastAsia"/>
          <w:lang w:val="en-US" w:eastAsia="zh-CN"/>
        </w:rPr>
        <w:t>一体化相关功能</w:t>
      </w:r>
      <w:bookmarkEnd w:id="7"/>
    </w:p>
    <w:p>
      <w:pPr>
        <w:pStyle w:val="3"/>
        <w:bidi w:val="0"/>
        <w:ind w:left="777" w:leftChars="0" w:firstLineChars="0"/>
        <w:rPr>
          <w:rFonts w:hint="default"/>
          <w:lang w:val="en-US" w:eastAsia="zh-CN"/>
        </w:rPr>
      </w:pPr>
      <w:bookmarkStart w:id="8" w:name="_Toc21946"/>
      <w:r>
        <w:rPr>
          <w:rFonts w:hint="eastAsia"/>
          <w:lang w:val="en-US" w:eastAsia="zh-CN"/>
        </w:rPr>
        <w:t>查看一体化平台推送的采购预算</w:t>
      </w:r>
      <w:bookmarkEnd w:id="8"/>
    </w:p>
    <w:p>
      <w:r>
        <w:t>采购预算单位</w:t>
      </w:r>
      <w:r>
        <w:rPr>
          <w:rFonts w:hint="eastAsia"/>
          <w:lang w:val="en-US" w:eastAsia="zh-CN"/>
        </w:rPr>
        <w:t>在一体化平台申报采购预算审核通过之后，一体化平台会把对应审核通过的采购预算信息推送到政府采购系统</w:t>
      </w:r>
      <w:r>
        <w:rPr>
          <w:rFonts w:hint="eastAsia"/>
        </w:rPr>
        <w:t>。</w:t>
      </w:r>
    </w:p>
    <w:p>
      <w:r>
        <w:t>操作如下</w:t>
      </w:r>
      <w:r>
        <w:rPr>
          <w:rFonts w:hint="eastAsia"/>
        </w:rPr>
        <w:t>：</w:t>
      </w:r>
    </w:p>
    <w:p>
      <w:pPr>
        <w:pStyle w:val="45"/>
        <w:numPr>
          <w:ilvl w:val="0"/>
          <w:numId w:val="0"/>
        </w:numPr>
        <w:ind w:leftChars="0"/>
        <w:rPr>
          <w:szCs w:val="21"/>
        </w:rPr>
      </w:pPr>
      <w:r>
        <w:rPr>
          <w:rFonts w:hint="eastAsia"/>
          <w:szCs w:val="21"/>
          <w:lang w:val="en-US" w:eastAsia="zh-CN"/>
        </w:rPr>
        <w:t>在线审批</w:t>
      </w:r>
      <w:r>
        <w:rPr>
          <w:rFonts w:hint="eastAsia"/>
          <w:szCs w:val="21"/>
        </w:rPr>
        <w:t>下，点击“</w:t>
      </w:r>
      <w:r>
        <w:rPr>
          <w:rFonts w:hint="eastAsia"/>
          <w:szCs w:val="21"/>
          <w:lang w:val="en-US" w:eastAsia="zh-CN"/>
        </w:rPr>
        <w:t>政府采购</w:t>
      </w:r>
      <w:r>
        <w:rPr>
          <w:rFonts w:hint="eastAsia"/>
          <w:szCs w:val="21"/>
        </w:rPr>
        <w:t>----</w:t>
      </w:r>
      <w:r>
        <w:rPr>
          <w:rFonts w:hint="eastAsia"/>
          <w:szCs w:val="21"/>
          <w:lang w:val="en-US" w:eastAsia="zh-CN"/>
        </w:rPr>
        <w:t>计划管理</w:t>
      </w:r>
      <w:r>
        <w:rPr>
          <w:rFonts w:hint="eastAsia"/>
          <w:szCs w:val="21"/>
        </w:rPr>
        <w:t>----</w:t>
      </w:r>
      <w:r>
        <w:rPr>
          <w:rFonts w:hint="eastAsia"/>
          <w:szCs w:val="21"/>
          <w:lang w:val="en-US" w:eastAsia="zh-CN"/>
        </w:rPr>
        <w:t>一体化预算指标管理</w:t>
      </w:r>
      <w:r>
        <w:rPr>
          <w:rFonts w:hint="eastAsia"/>
          <w:szCs w:val="21"/>
        </w:rPr>
        <w:t>----</w:t>
      </w:r>
      <w:r>
        <w:rPr>
          <w:rFonts w:hint="eastAsia"/>
          <w:szCs w:val="21"/>
          <w:lang w:val="en-US" w:eastAsia="zh-CN"/>
        </w:rPr>
        <w:t>一体化预算管理</w:t>
      </w:r>
      <w:r>
        <w:rPr>
          <w:rFonts w:hint="eastAsia"/>
          <w:szCs w:val="21"/>
        </w:rPr>
        <w:t>”菜单，采购办可以查看本辖区内的</w:t>
      </w:r>
      <w:r>
        <w:rPr>
          <w:rFonts w:hint="eastAsia"/>
          <w:szCs w:val="21"/>
          <w:lang w:val="en-US" w:eastAsia="zh-CN"/>
        </w:rPr>
        <w:t>一体化平台推送的采购预算</w:t>
      </w:r>
      <w:r>
        <w:rPr>
          <w:rFonts w:hint="eastAsia"/>
          <w:szCs w:val="21"/>
        </w:rPr>
        <w:t>。如下图所示：</w:t>
      </w:r>
    </w:p>
    <w:p>
      <w:pPr>
        <w:pStyle w:val="45"/>
        <w:numPr>
          <w:ilvl w:val="0"/>
          <w:numId w:val="0"/>
        </w:numPr>
        <w:ind w:leftChars="0"/>
      </w:pPr>
      <w:r>
        <w:drawing>
          <wp:inline distT="0" distB="0" distL="114300" distR="114300">
            <wp:extent cx="5265420" cy="1776095"/>
            <wp:effectExtent l="0" t="0" r="508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65420" cy="1776095"/>
                    </a:xfrm>
                    <a:prstGeom prst="rect">
                      <a:avLst/>
                    </a:prstGeom>
                    <a:noFill/>
                    <a:ln>
                      <a:noFill/>
                    </a:ln>
                  </pic:spPr>
                </pic:pic>
              </a:graphicData>
            </a:graphic>
          </wp:inline>
        </w:drawing>
      </w:r>
    </w:p>
    <w:p>
      <w:pPr>
        <w:pStyle w:val="3"/>
        <w:bidi w:val="0"/>
        <w:ind w:left="777" w:leftChars="0" w:firstLineChars="0"/>
        <w:rPr>
          <w:rFonts w:hint="default"/>
          <w:lang w:val="en-US" w:eastAsia="zh-CN"/>
        </w:rPr>
      </w:pPr>
      <w:bookmarkStart w:id="9" w:name="_Toc12244"/>
      <w:r>
        <w:rPr>
          <w:rFonts w:hint="eastAsia"/>
          <w:lang w:val="en-US" w:eastAsia="zh-CN"/>
        </w:rPr>
        <w:t>查看一体化平台推送的采购预算单位基本信息</w:t>
      </w:r>
      <w:bookmarkEnd w:id="9"/>
    </w:p>
    <w:p>
      <w:r>
        <w:rPr>
          <w:rFonts w:hint="eastAsia"/>
          <w:lang w:val="en-US" w:eastAsia="zh-CN"/>
        </w:rPr>
        <w:t>一体化平台统一把采购预算单位基本信息推送到政府采购系统</w:t>
      </w:r>
      <w:r>
        <w:rPr>
          <w:rFonts w:hint="eastAsia"/>
        </w:rPr>
        <w:t>。</w:t>
      </w:r>
    </w:p>
    <w:p>
      <w:r>
        <w:t>操作如下</w:t>
      </w:r>
      <w:r>
        <w:rPr>
          <w:rFonts w:hint="eastAsia"/>
        </w:rPr>
        <w:t>：</w:t>
      </w:r>
    </w:p>
    <w:p>
      <w:pPr>
        <w:pStyle w:val="45"/>
        <w:numPr>
          <w:ilvl w:val="0"/>
          <w:numId w:val="0"/>
        </w:numPr>
        <w:ind w:leftChars="0"/>
        <w:rPr>
          <w:rFonts w:hint="eastAsia"/>
          <w:szCs w:val="21"/>
        </w:rPr>
      </w:pPr>
      <w:r>
        <w:rPr>
          <w:rFonts w:hint="eastAsia"/>
          <w:szCs w:val="21"/>
          <w:lang w:val="en-US" w:eastAsia="zh-CN"/>
        </w:rPr>
        <w:t>在线审批</w:t>
      </w:r>
      <w:r>
        <w:rPr>
          <w:rFonts w:hint="eastAsia"/>
          <w:szCs w:val="21"/>
        </w:rPr>
        <w:t>下，点击“</w:t>
      </w:r>
      <w:r>
        <w:rPr>
          <w:rFonts w:hint="eastAsia"/>
          <w:szCs w:val="21"/>
          <w:lang w:val="en-US" w:eastAsia="zh-CN"/>
        </w:rPr>
        <w:t>政府采购</w:t>
      </w:r>
      <w:r>
        <w:rPr>
          <w:rFonts w:hint="eastAsia"/>
          <w:szCs w:val="21"/>
        </w:rPr>
        <w:t>----</w:t>
      </w:r>
      <w:r>
        <w:rPr>
          <w:rFonts w:hint="eastAsia"/>
          <w:szCs w:val="21"/>
          <w:lang w:val="en-US" w:eastAsia="zh-CN"/>
        </w:rPr>
        <w:t>计划管理</w:t>
      </w:r>
      <w:r>
        <w:rPr>
          <w:rFonts w:hint="eastAsia"/>
          <w:szCs w:val="21"/>
        </w:rPr>
        <w:t>----</w:t>
      </w:r>
      <w:r>
        <w:rPr>
          <w:rFonts w:hint="eastAsia"/>
          <w:szCs w:val="21"/>
          <w:lang w:val="en-US" w:eastAsia="zh-CN"/>
        </w:rPr>
        <w:t>一体化单位基本信息</w:t>
      </w:r>
      <w:r>
        <w:rPr>
          <w:rFonts w:hint="eastAsia"/>
          <w:szCs w:val="21"/>
        </w:rPr>
        <w:t>”菜单，采购办可以查看本辖区内的</w:t>
      </w:r>
      <w:r>
        <w:rPr>
          <w:rFonts w:hint="eastAsia"/>
          <w:szCs w:val="21"/>
          <w:lang w:val="en-US" w:eastAsia="zh-CN"/>
        </w:rPr>
        <w:t>一体化平台推送的采购预算单位基本信息</w:t>
      </w:r>
      <w:r>
        <w:rPr>
          <w:rFonts w:hint="eastAsia"/>
          <w:szCs w:val="21"/>
        </w:rPr>
        <w:t>。如下图所示：</w:t>
      </w:r>
    </w:p>
    <w:p>
      <w:pPr>
        <w:pStyle w:val="45"/>
        <w:numPr>
          <w:ilvl w:val="0"/>
          <w:numId w:val="0"/>
        </w:numPr>
        <w:ind w:leftChars="0"/>
      </w:pPr>
      <w:r>
        <w:drawing>
          <wp:inline distT="0" distB="0" distL="114300" distR="114300">
            <wp:extent cx="5266690" cy="1964055"/>
            <wp:effectExtent l="0" t="0" r="3810"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5266690" cy="1964055"/>
                    </a:xfrm>
                    <a:prstGeom prst="rect">
                      <a:avLst/>
                    </a:prstGeom>
                    <a:noFill/>
                    <a:ln>
                      <a:noFill/>
                    </a:ln>
                  </pic:spPr>
                </pic:pic>
              </a:graphicData>
            </a:graphic>
          </wp:inline>
        </w:drawing>
      </w:r>
    </w:p>
    <w:p>
      <w:pPr>
        <w:pStyle w:val="45"/>
        <w:numPr>
          <w:ilvl w:val="0"/>
          <w:numId w:val="0"/>
        </w:numPr>
        <w:ind w:leftChars="0"/>
        <w:rPr>
          <w:rFonts w:hint="eastAsia"/>
          <w:b/>
          <w:bCs/>
          <w:color w:val="FF0000"/>
          <w:lang w:val="en-US" w:eastAsia="zh-CN"/>
        </w:rPr>
      </w:pPr>
      <w:r>
        <w:rPr>
          <w:rFonts w:hint="eastAsia"/>
          <w:b/>
          <w:bCs/>
          <w:color w:val="FF0000"/>
          <w:lang w:val="en-US" w:eastAsia="zh-CN"/>
        </w:rPr>
        <w:t>要求本辖区内所有采购预算单位中基本信息的单位预算编码同一体化单位基本信息中的预算编码一致，否则影响后期流程。请采购办审核本地采购预算单位基本信息时，先核对是否一致，再进行审核通过。</w:t>
      </w:r>
    </w:p>
    <w:p>
      <w:pPr>
        <w:pStyle w:val="3"/>
        <w:bidi w:val="0"/>
        <w:ind w:left="777" w:leftChars="0" w:firstLineChars="0"/>
        <w:rPr>
          <w:rFonts w:hint="eastAsia"/>
          <w:lang w:val="en-US" w:eastAsia="zh-CN"/>
        </w:rPr>
      </w:pPr>
      <w:bookmarkStart w:id="10" w:name="_Toc18454"/>
      <w:r>
        <w:rPr>
          <w:rFonts w:hint="eastAsia"/>
          <w:lang w:val="en-US" w:eastAsia="zh-CN"/>
        </w:rPr>
        <w:t>查看政府采购系统合同信息推送到一体化平台</w:t>
      </w:r>
      <w:bookmarkEnd w:id="10"/>
    </w:p>
    <w:p>
      <w:r>
        <w:rPr>
          <w:rFonts w:hint="eastAsia"/>
          <w:lang w:val="en-US" w:eastAsia="zh-CN"/>
        </w:rPr>
        <w:t>采购预算单位委托合同备案时，主管单位进行合同备案审核通过后，政府采购系统会把合同备案信息推送到一体化平台国库支付系统，</w:t>
      </w:r>
      <w:r>
        <w:rPr>
          <w:rFonts w:hint="eastAsia"/>
          <w:b/>
          <w:bCs/>
          <w:color w:val="FF0000"/>
          <w:lang w:val="en-US" w:eastAsia="zh-CN"/>
        </w:rPr>
        <w:t>新-支付系统中间库数据查询有数据，证明政府采购系统把相关支付信息已推送到一体化平台国库支付系统，如一体化平台国库支付系统还是看不到支付数据，请让采购人联系一体化平台国库支付系统</w:t>
      </w:r>
      <w:r>
        <w:rPr>
          <w:rFonts w:hint="eastAsia"/>
        </w:rPr>
        <w:t>。</w:t>
      </w:r>
    </w:p>
    <w:p>
      <w:r>
        <w:t>操作如下</w:t>
      </w:r>
      <w:r>
        <w:rPr>
          <w:rFonts w:hint="eastAsia"/>
        </w:rPr>
        <w:t>：</w:t>
      </w:r>
    </w:p>
    <w:p>
      <w:pPr>
        <w:pStyle w:val="45"/>
        <w:numPr>
          <w:ilvl w:val="0"/>
          <w:numId w:val="0"/>
        </w:numPr>
        <w:ind w:leftChars="0"/>
        <w:rPr>
          <w:rFonts w:hint="eastAsia"/>
          <w:szCs w:val="21"/>
        </w:rPr>
      </w:pPr>
      <w:r>
        <w:rPr>
          <w:rFonts w:hint="eastAsia"/>
          <w:szCs w:val="21"/>
          <w:lang w:val="en-US" w:eastAsia="zh-CN"/>
        </w:rPr>
        <w:t>在线审批</w:t>
      </w:r>
      <w:r>
        <w:rPr>
          <w:rFonts w:hint="eastAsia"/>
          <w:szCs w:val="21"/>
        </w:rPr>
        <w:t>下，点击“</w:t>
      </w:r>
      <w:r>
        <w:rPr>
          <w:rFonts w:hint="eastAsia"/>
          <w:szCs w:val="21"/>
          <w:lang w:val="en-US" w:eastAsia="zh-CN"/>
        </w:rPr>
        <w:t>政府采购</w:t>
      </w:r>
      <w:r>
        <w:rPr>
          <w:rFonts w:hint="eastAsia"/>
          <w:szCs w:val="21"/>
        </w:rPr>
        <w:t>----</w:t>
      </w:r>
      <w:r>
        <w:rPr>
          <w:rFonts w:hint="eastAsia"/>
          <w:szCs w:val="21"/>
          <w:lang w:val="en-US" w:eastAsia="zh-CN"/>
        </w:rPr>
        <w:t>计划管理</w:t>
      </w:r>
      <w:r>
        <w:rPr>
          <w:rFonts w:hint="eastAsia"/>
          <w:szCs w:val="21"/>
        </w:rPr>
        <w:t>----</w:t>
      </w:r>
      <w:r>
        <w:rPr>
          <w:rFonts w:hint="eastAsia"/>
          <w:lang w:val="en-US" w:eastAsia="zh-CN"/>
        </w:rPr>
        <w:t>新-支付系统中间库数据查询</w:t>
      </w:r>
      <w:r>
        <w:rPr>
          <w:rFonts w:hint="eastAsia"/>
          <w:szCs w:val="21"/>
        </w:rPr>
        <w:t>”菜单，采购办可以查看本辖区内的</w:t>
      </w:r>
      <w:r>
        <w:rPr>
          <w:rFonts w:hint="eastAsia"/>
          <w:szCs w:val="21"/>
          <w:lang w:val="en-US" w:eastAsia="zh-CN"/>
        </w:rPr>
        <w:t>政府采购系统把相关支付信息已推送到一体化平台国库支付系统信息</w:t>
      </w:r>
      <w:r>
        <w:rPr>
          <w:rFonts w:hint="eastAsia"/>
          <w:szCs w:val="21"/>
        </w:rPr>
        <w:t>。如下图所示：</w:t>
      </w:r>
    </w:p>
    <w:p>
      <w:pPr>
        <w:pStyle w:val="45"/>
        <w:numPr>
          <w:ilvl w:val="0"/>
          <w:numId w:val="0"/>
        </w:numPr>
        <w:ind w:leftChars="0"/>
        <w:rPr>
          <w:rFonts w:hint="eastAsia"/>
          <w:szCs w:val="21"/>
        </w:rPr>
      </w:pPr>
      <w:r>
        <w:drawing>
          <wp:inline distT="0" distB="0" distL="114300" distR="114300">
            <wp:extent cx="5266690" cy="1750060"/>
            <wp:effectExtent l="0" t="0" r="3810" b="25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5266690" cy="1750060"/>
                    </a:xfrm>
                    <a:prstGeom prst="rect">
                      <a:avLst/>
                    </a:prstGeom>
                    <a:noFill/>
                    <a:ln>
                      <a:noFill/>
                    </a:ln>
                  </pic:spPr>
                </pic:pic>
              </a:graphicData>
            </a:graphic>
          </wp:inline>
        </w:drawing>
      </w:r>
    </w:p>
    <w:p>
      <w:pPr>
        <w:pStyle w:val="45"/>
        <w:numPr>
          <w:ilvl w:val="0"/>
          <w:numId w:val="0"/>
        </w:numPr>
        <w:ind w:leftChars="0"/>
        <w:rPr>
          <w:rFonts w:hint="default"/>
          <w:b/>
          <w:bCs/>
          <w:color w:val="FF0000"/>
          <w:lang w:val="en-US" w:eastAsia="zh-CN"/>
        </w:rPr>
      </w:pPr>
    </w:p>
    <w:p>
      <w:pPr>
        <w:pStyle w:val="3"/>
        <w:bidi w:val="0"/>
        <w:ind w:left="777" w:leftChars="0" w:firstLineChars="0"/>
        <w:rPr>
          <w:rFonts w:hint="default"/>
          <w:lang w:val="en-US" w:eastAsia="zh-CN"/>
        </w:rPr>
      </w:pPr>
      <w:bookmarkStart w:id="11" w:name="_Toc1941"/>
      <w:r>
        <w:rPr>
          <w:rFonts w:hint="eastAsia"/>
          <w:lang w:val="en-US" w:eastAsia="zh-CN"/>
        </w:rPr>
        <w:t>查看一体化平台推送的一体化支付凭证</w:t>
      </w:r>
      <w:bookmarkEnd w:id="11"/>
    </w:p>
    <w:p>
      <w:pPr>
        <w:rPr>
          <w:rFonts w:hint="default"/>
          <w:lang w:val="en-US" w:eastAsia="zh-CN"/>
        </w:rPr>
      </w:pPr>
    </w:p>
    <w:p>
      <w:r>
        <w:rPr>
          <w:rFonts w:hint="eastAsia"/>
          <w:lang w:val="en-US" w:eastAsia="zh-CN"/>
        </w:rPr>
        <w:t>采购预算单位在一体化平台完成支付后，一体化平台会把支付凭证推送到政府采购系统</w:t>
      </w:r>
      <w:r>
        <w:rPr>
          <w:rFonts w:hint="eastAsia"/>
        </w:rPr>
        <w:t>。</w:t>
      </w:r>
    </w:p>
    <w:p>
      <w:r>
        <w:t>操作如下</w:t>
      </w:r>
      <w:r>
        <w:rPr>
          <w:rFonts w:hint="eastAsia"/>
        </w:rPr>
        <w:t>：</w:t>
      </w:r>
    </w:p>
    <w:p>
      <w:pPr>
        <w:rPr>
          <w:rFonts w:hint="eastAsia"/>
          <w:szCs w:val="21"/>
          <w:lang w:eastAsia="zh-CN"/>
        </w:rPr>
      </w:pPr>
      <w:r>
        <w:rPr>
          <w:rFonts w:hint="eastAsia"/>
          <w:szCs w:val="21"/>
          <w:lang w:val="en-US" w:eastAsia="zh-CN"/>
        </w:rPr>
        <w:t>在线审批</w:t>
      </w:r>
      <w:r>
        <w:rPr>
          <w:rFonts w:hint="eastAsia"/>
          <w:szCs w:val="21"/>
        </w:rPr>
        <w:t>下，点击“</w:t>
      </w:r>
      <w:r>
        <w:rPr>
          <w:rFonts w:hint="eastAsia"/>
          <w:szCs w:val="21"/>
          <w:lang w:val="en-US" w:eastAsia="zh-CN"/>
        </w:rPr>
        <w:t>政府采购</w:t>
      </w:r>
      <w:r>
        <w:rPr>
          <w:rFonts w:hint="eastAsia"/>
          <w:szCs w:val="21"/>
        </w:rPr>
        <w:t>----</w:t>
      </w:r>
      <w:r>
        <w:rPr>
          <w:rFonts w:hint="eastAsia"/>
          <w:szCs w:val="21"/>
          <w:lang w:val="en-US" w:eastAsia="zh-CN"/>
        </w:rPr>
        <w:t>计划管理</w:t>
      </w:r>
      <w:r>
        <w:rPr>
          <w:rFonts w:hint="eastAsia"/>
          <w:szCs w:val="21"/>
        </w:rPr>
        <w:t>----</w:t>
      </w:r>
      <w:r>
        <w:rPr>
          <w:rFonts w:hint="eastAsia"/>
          <w:lang w:val="en-US" w:eastAsia="zh-CN"/>
        </w:rPr>
        <w:t>一体化支付凭证</w:t>
      </w:r>
      <w:r>
        <w:rPr>
          <w:rFonts w:hint="eastAsia"/>
          <w:szCs w:val="21"/>
        </w:rPr>
        <w:t>”菜单，采购办可以查看本辖区内的</w:t>
      </w:r>
      <w:r>
        <w:rPr>
          <w:rFonts w:hint="eastAsia"/>
          <w:szCs w:val="21"/>
          <w:lang w:val="en-US" w:eastAsia="zh-CN"/>
        </w:rPr>
        <w:t>一体化平台推送到政府采购系统的一体化支付凭证</w:t>
      </w:r>
      <w:r>
        <w:rPr>
          <w:rFonts w:hint="eastAsia"/>
          <w:szCs w:val="21"/>
        </w:rPr>
        <w:t>。如下图所示</w:t>
      </w:r>
      <w:r>
        <w:rPr>
          <w:rFonts w:hint="eastAsia"/>
          <w:szCs w:val="21"/>
          <w:lang w:eastAsia="zh-CN"/>
        </w:rPr>
        <w:t>：</w:t>
      </w:r>
    </w:p>
    <w:p>
      <w:pPr>
        <w:rPr>
          <w:rFonts w:hint="eastAsia"/>
          <w:szCs w:val="21"/>
          <w:lang w:val="en-US" w:eastAsia="zh-CN"/>
        </w:rPr>
      </w:pPr>
      <w:r>
        <w:drawing>
          <wp:inline distT="0" distB="0" distL="114300" distR="114300">
            <wp:extent cx="5266690" cy="2051050"/>
            <wp:effectExtent l="0" t="0" r="381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266690" cy="2051050"/>
                    </a:xfrm>
                    <a:prstGeom prst="rect">
                      <a:avLst/>
                    </a:prstGeom>
                    <a:noFill/>
                    <a:ln>
                      <a:noFill/>
                    </a:ln>
                  </pic:spPr>
                </pic:pic>
              </a:graphicData>
            </a:graphic>
          </wp:inline>
        </w:drawing>
      </w:r>
    </w:p>
    <w:p>
      <w:pPr>
        <w:pStyle w:val="3"/>
        <w:bidi w:val="0"/>
        <w:ind w:left="777" w:leftChars="0" w:firstLineChars="0"/>
        <w:rPr>
          <w:rFonts w:hint="default"/>
          <w:lang w:val="en-US" w:eastAsia="zh-CN"/>
        </w:rPr>
      </w:pPr>
      <w:bookmarkStart w:id="12" w:name="_Toc31862"/>
      <w:r>
        <w:rPr>
          <w:rFonts w:hint="eastAsia"/>
          <w:lang w:val="en-US" w:eastAsia="zh-CN"/>
        </w:rPr>
        <w:t>一体化预算管理重置预算匹配</w:t>
      </w:r>
      <w:bookmarkEnd w:id="12"/>
    </w:p>
    <w:p>
      <w:pPr>
        <w:rPr>
          <w:rFonts w:hint="default"/>
          <w:lang w:val="en-US" w:eastAsia="zh-CN"/>
        </w:rPr>
      </w:pPr>
    </w:p>
    <w:p>
      <w:pPr>
        <w:rPr>
          <w:rFonts w:hint="default"/>
          <w:lang w:val="en-US" w:eastAsia="zh-CN"/>
        </w:rPr>
      </w:pPr>
      <w:r>
        <w:drawing>
          <wp:inline distT="0" distB="0" distL="114300" distR="114300">
            <wp:extent cx="5271135" cy="2127885"/>
            <wp:effectExtent l="0" t="0" r="12065"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6"/>
                    <a:stretch>
                      <a:fillRect/>
                    </a:stretch>
                  </pic:blipFill>
                  <pic:spPr>
                    <a:xfrm>
                      <a:off x="0" y="0"/>
                      <a:ext cx="5271135" cy="2127885"/>
                    </a:xfrm>
                    <a:prstGeom prst="rect">
                      <a:avLst/>
                    </a:prstGeom>
                    <a:noFill/>
                    <a:ln>
                      <a:noFill/>
                    </a:ln>
                  </pic:spPr>
                </pic:pic>
              </a:graphicData>
            </a:graphic>
          </wp:inline>
        </w:drawing>
      </w:r>
    </w:p>
    <w:p>
      <w:pPr>
        <w:pStyle w:val="2"/>
      </w:pPr>
      <w:bookmarkStart w:id="13" w:name="_Toc24355"/>
      <w:r>
        <w:t>政府采购业务系统管理</w:t>
      </w:r>
      <w:bookmarkEnd w:id="13"/>
    </w:p>
    <w:p>
      <w:pPr>
        <w:pStyle w:val="3"/>
        <w:ind w:left="777" w:leftChars="0" w:firstLineChars="0"/>
      </w:pPr>
      <w:bookmarkStart w:id="14" w:name="_Toc8413"/>
      <w:r>
        <w:t>政府采购业务系统管理</w:t>
      </w:r>
      <w:bookmarkEnd w:id="14"/>
    </w:p>
    <w:p>
      <w:r>
        <w:rPr>
          <w:rFonts w:hint="eastAsia"/>
        </w:rPr>
        <w:t>选择“政府采购”栏目，可以看到以下栏目菜单：“计划管理”、 “协议采购”、“交易前”、“公告及文件查看”、“异常处理”、“查询”、“备案”、“支付审核”等子栏目。如需管理、查看相关信息，可在对应栏目菜单下，对采购人的采购活动进行准确的查看和监督管理。</w:t>
      </w:r>
    </w:p>
    <w:p>
      <w:pPr>
        <w:ind w:firstLine="1890" w:firstLineChars="900"/>
      </w:pPr>
      <w:r>
        <w:t xml:space="preserve">  </w:t>
      </w:r>
      <w:r>
        <w:drawing>
          <wp:inline distT="0" distB="0" distL="0" distR="0">
            <wp:extent cx="5472430" cy="236791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487744" cy="2374301"/>
                    </a:xfrm>
                    <a:prstGeom prst="rect">
                      <a:avLst/>
                    </a:prstGeom>
                  </pic:spPr>
                </pic:pic>
              </a:graphicData>
            </a:graphic>
          </wp:inline>
        </w:drawing>
      </w:r>
    </w:p>
    <w:p>
      <w:pPr>
        <w:pStyle w:val="3"/>
        <w:ind w:left="777" w:leftChars="0" w:firstLineChars="0"/>
      </w:pPr>
      <w:bookmarkStart w:id="15" w:name="_Toc21853"/>
      <w:r>
        <w:rPr>
          <w:rFonts w:hint="eastAsia"/>
          <w:lang w:val="en-US" w:eastAsia="zh-CN"/>
        </w:rPr>
        <w:t>新-手动推送合同备案</w:t>
      </w:r>
      <w:bookmarkEnd w:id="15"/>
    </w:p>
    <w:p>
      <w:pPr>
        <w:rPr>
          <w:rFonts w:hint="eastAsia"/>
          <w:lang w:val="en-US" w:eastAsia="zh-CN"/>
        </w:rPr>
      </w:pPr>
      <w:r>
        <w:rPr>
          <w:rFonts w:hint="eastAsia"/>
          <w:lang w:val="en-US" w:eastAsia="zh-CN"/>
        </w:rPr>
        <w:t>在“备案”模块下增加“新-手动推送合同备案”模块，根据要求，原自动推送合同备案（协议类的验收单后推送）改为采购监管部门（省采购监管处和各地采购办）在监管端进行手动推送，目前在2022年6月22日已完成切换。</w:t>
      </w:r>
    </w:p>
    <w:p>
      <w:pPr>
        <w:rPr>
          <w:rFonts w:hint="default" w:eastAsia="宋体"/>
          <w:lang w:val="en-US" w:eastAsia="zh-CN"/>
        </w:rPr>
      </w:pPr>
      <w:r>
        <w:rPr>
          <w:rFonts w:hint="eastAsia"/>
          <w:lang w:val="en-US" w:eastAsia="zh-CN"/>
        </w:rPr>
        <w:t>1、针对2022年度及之后的预算，且合同备案（协议类的验收单后推送）时间在6月22日后的项目，需要由各地采购办（包括省采购监管处）在“新手动推送一体化”下进行推送，推送成功后会显示已推送；2022年本年度且在6月22日之前备案的省本级及地市，委托、自行采购的项目，走完合同备案后，一体化预算会自动进行推送，可在“新手动推送一体化”模块下查看并推送；</w:t>
      </w:r>
    </w:p>
    <w:p>
      <w:pPr>
        <w:ind w:firstLine="1890" w:firstLineChars="900"/>
      </w:pPr>
    </w:p>
    <w:p>
      <w:r>
        <w:drawing>
          <wp:inline distT="0" distB="0" distL="114300" distR="114300">
            <wp:extent cx="5273675" cy="1933575"/>
            <wp:effectExtent l="0" t="0" r="952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5273675" cy="1933575"/>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2、除省本级采购单位外，其他地方的采购单位与一体化支付平台完成对接是从2022年1月1日开始，预算为2022年产生的，并且使用2022年预算的项目才会推送一体化支付平台，采购人在一体化平台进行支付；使用2022年之前的预算的项目不管合同备案时间是何时，都是采用原支付方式，交易平台未与一体化对接；</w:t>
      </w:r>
    </w:p>
    <w:p>
      <w:pPr>
        <w:rPr>
          <w:rFonts w:hint="eastAsia"/>
          <w:lang w:eastAsia="zh-CN"/>
        </w:rPr>
      </w:pPr>
      <w:r>
        <w:rPr>
          <w:rFonts w:hint="eastAsia"/>
          <w:lang w:val="en-US" w:eastAsia="zh-CN"/>
        </w:rPr>
        <w:t>3、</w:t>
      </w:r>
      <w:r>
        <w:rPr>
          <w:rFonts w:hint="eastAsia"/>
        </w:rPr>
        <w:t>2022年本年度在6月22日后备案的</w:t>
      </w:r>
      <w:r>
        <w:rPr>
          <w:rFonts w:hint="eastAsia"/>
          <w:lang w:val="en-US" w:eastAsia="zh-CN"/>
        </w:rPr>
        <w:t>招标类项目（采购方式为公开、竞谈、磋商、询价、邀请、单一来源，合同备案后推送一体化支付平台）</w:t>
      </w:r>
      <w:r>
        <w:rPr>
          <w:rFonts w:hint="eastAsia"/>
        </w:rPr>
        <w:t>、</w:t>
      </w:r>
      <w:r>
        <w:rPr>
          <w:rFonts w:hint="eastAsia"/>
          <w:lang w:val="en-US" w:eastAsia="zh-CN"/>
        </w:rPr>
        <w:t>协议类（新协议采购、</w:t>
      </w:r>
      <w:r>
        <w:rPr>
          <w:rFonts w:hint="eastAsia"/>
        </w:rPr>
        <w:t>协议采购、定点采购、批量采购流程</w:t>
      </w:r>
      <w:r>
        <w:rPr>
          <w:rFonts w:hint="eastAsia"/>
          <w:lang w:eastAsia="zh-CN"/>
        </w:rPr>
        <w:t>，</w:t>
      </w:r>
      <w:r>
        <w:rPr>
          <w:rFonts w:hint="eastAsia"/>
        </w:rPr>
        <w:t>需做完验收单</w:t>
      </w:r>
      <w:r>
        <w:rPr>
          <w:rFonts w:hint="eastAsia"/>
          <w:lang w:val="en-US" w:eastAsia="zh-CN"/>
        </w:rPr>
        <w:t>才会推送一体化支付平台</w:t>
      </w:r>
      <w:r>
        <w:rPr>
          <w:rFonts w:hint="eastAsia"/>
        </w:rPr>
        <w:t>）推送项目信息至一体化平台支付中间库，由采购办进行手动推送</w:t>
      </w:r>
      <w:r>
        <w:rPr>
          <w:rFonts w:hint="eastAsia"/>
          <w:lang w:eastAsia="zh-CN"/>
        </w:rPr>
        <w:t>，</w:t>
      </w:r>
      <w:r>
        <w:rPr>
          <w:rFonts w:hint="eastAsia"/>
          <w:lang w:val="en-US" w:eastAsia="zh-CN"/>
        </w:rPr>
        <w:t>可在“新手动推送一体化”模块下查看并推送</w:t>
      </w:r>
      <w:r>
        <w:rPr>
          <w:rFonts w:hint="eastAsia"/>
          <w:lang w:eastAsia="zh-CN"/>
        </w:rPr>
        <w:t>；</w:t>
      </w:r>
    </w:p>
    <w:p>
      <w:pPr>
        <w:rPr>
          <w:rFonts w:hint="eastAsia"/>
          <w:lang w:val="en-US" w:eastAsia="zh-CN"/>
        </w:rPr>
      </w:pPr>
      <w:r>
        <w:rPr>
          <w:rFonts w:hint="eastAsia"/>
          <w:lang w:val="en-US" w:eastAsia="zh-CN"/>
        </w:rPr>
        <w:t>4、使用</w:t>
      </w:r>
      <w:r>
        <w:rPr>
          <w:rFonts w:hint="eastAsia"/>
          <w:lang w:eastAsia="zh-CN"/>
        </w:rPr>
        <w:t>2022年本年度</w:t>
      </w:r>
      <w:r>
        <w:rPr>
          <w:rFonts w:hint="eastAsia"/>
          <w:lang w:val="en-US" w:eastAsia="zh-CN"/>
        </w:rPr>
        <w:t>预算的</w:t>
      </w:r>
      <w:r>
        <w:rPr>
          <w:rFonts w:hint="eastAsia"/>
          <w:lang w:eastAsia="zh-CN"/>
        </w:rPr>
        <w:t>协议类采购项目，6月22日前做的需要退回合同备案，重新修改提交（</w:t>
      </w:r>
      <w:r>
        <w:rPr>
          <w:rFonts w:hint="eastAsia"/>
          <w:lang w:val="en-US" w:eastAsia="zh-CN"/>
        </w:rPr>
        <w:t>主要因为跟一体化重新对接，一体化需要交易平台推送合同名称、合同签订日期，但因原平台无该字段，后面对接完后，因已经完成的项目没有该字段，因此需要重新补填，可联系对应采购办退回重新填写</w:t>
      </w:r>
      <w:r>
        <w:rPr>
          <w:rFonts w:hint="eastAsia"/>
          <w:lang w:eastAsia="zh-CN"/>
        </w:rPr>
        <w:t>），做完验收单，找采购办重新进行推送；</w:t>
      </w:r>
      <w:r>
        <w:rPr>
          <w:rFonts w:hint="eastAsia"/>
          <w:lang w:val="en-US" w:eastAsia="zh-CN"/>
        </w:rPr>
        <w:t>如果做了验收单需先联系对应监管部门采购办（采购监管处）删除验收单，然后退回合同备案，进行修改提交，完成验收单后，再联系采购办推送</w:t>
      </w:r>
    </w:p>
    <w:p>
      <w:pPr>
        <w:numPr>
          <w:ilvl w:val="0"/>
          <w:numId w:val="0"/>
        </w:numPr>
      </w:pPr>
      <w:r>
        <w:drawing>
          <wp:inline distT="0" distB="0" distL="114300" distR="114300">
            <wp:extent cx="5728970" cy="1136650"/>
            <wp:effectExtent l="0" t="0" r="11430" b="63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9"/>
                    <a:stretch>
                      <a:fillRect/>
                    </a:stretch>
                  </pic:blipFill>
                  <pic:spPr>
                    <a:xfrm>
                      <a:off x="0" y="0"/>
                      <a:ext cx="5728970" cy="1136650"/>
                    </a:xfrm>
                    <a:prstGeom prst="rect">
                      <a:avLst/>
                    </a:prstGeom>
                    <a:noFill/>
                    <a:ln>
                      <a:noFill/>
                    </a:ln>
                  </pic:spPr>
                </pic:pic>
              </a:graphicData>
            </a:graphic>
          </wp:inline>
        </w:drawing>
      </w:r>
    </w:p>
    <w:p>
      <w:pPr>
        <w:numPr>
          <w:ilvl w:val="0"/>
          <w:numId w:val="0"/>
        </w:numPr>
        <w:rPr>
          <w:rFonts w:hint="default"/>
          <w:lang w:val="en-US" w:eastAsia="zh-CN"/>
        </w:rPr>
      </w:pPr>
      <w:r>
        <w:rPr>
          <w:rFonts w:hint="eastAsia"/>
          <w:lang w:val="en-US" w:eastAsia="zh-CN"/>
        </w:rPr>
        <w:t>5、合同备案模块下快速查看项目的预算年度和预算类型；新增预算由采购单位自行关联一体化预算推送；一体化预算由采购监管处或采购办推送。</w:t>
      </w:r>
      <w:bookmarkStart w:id="25" w:name="_GoBack"/>
      <w:bookmarkEnd w:id="25"/>
    </w:p>
    <w:p>
      <w:pPr>
        <w:numPr>
          <w:ilvl w:val="0"/>
          <w:numId w:val="0"/>
        </w:numPr>
        <w:rPr>
          <w:rFonts w:hint="eastAsia"/>
          <w:lang w:val="en-US" w:eastAsia="zh-CN"/>
        </w:rPr>
      </w:pPr>
      <w:r>
        <w:drawing>
          <wp:inline distT="0" distB="0" distL="114300" distR="114300">
            <wp:extent cx="5263515" cy="1953260"/>
            <wp:effectExtent l="0" t="0" r="6985" b="254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0"/>
                    <a:stretch>
                      <a:fillRect/>
                    </a:stretch>
                  </pic:blipFill>
                  <pic:spPr>
                    <a:xfrm>
                      <a:off x="0" y="0"/>
                      <a:ext cx="5263515" cy="1953260"/>
                    </a:xfrm>
                    <a:prstGeom prst="rect">
                      <a:avLst/>
                    </a:prstGeom>
                    <a:noFill/>
                    <a:ln>
                      <a:noFill/>
                    </a:ln>
                  </pic:spPr>
                </pic:pic>
              </a:graphicData>
            </a:graphic>
          </wp:inline>
        </w:drawing>
      </w:r>
    </w:p>
    <w:p>
      <w:pPr>
        <w:jc w:val="left"/>
        <w:rPr>
          <w:rFonts w:hint="default"/>
          <w:lang w:val="en-US" w:eastAsia="zh-CN"/>
        </w:rPr>
      </w:pPr>
    </w:p>
    <w:p/>
    <w:p>
      <w:pPr>
        <w:ind w:firstLine="2520" w:firstLineChars="1200"/>
      </w:pPr>
      <w:r>
        <w:t xml:space="preserve">  </w:t>
      </w:r>
    </w:p>
    <w:p>
      <w:pPr>
        <w:pStyle w:val="3"/>
        <w:ind w:left="777" w:leftChars="0" w:firstLineChars="0"/>
      </w:pPr>
      <w:bookmarkStart w:id="16" w:name="_Toc26117"/>
      <w:r>
        <w:t>计划管理</w:t>
      </w:r>
      <w:bookmarkEnd w:id="16"/>
    </w:p>
    <w:p>
      <w:r>
        <w:rPr>
          <w:rFonts w:hint="eastAsia"/>
        </w:rPr>
        <w:t>该栏目下有以下菜单功能：“预算管理”、“查看项目预算审核”、“查看项目组织形式”、“查看指定集采中心”“查看采购机构和采购方式”、 “委托社会代理”。</w:t>
      </w:r>
      <w:r>
        <w:rPr>
          <w:rFonts w:hint="eastAsia"/>
          <w:b/>
        </w:rPr>
        <w:t>功能说明</w:t>
      </w:r>
      <w:r>
        <w:rPr>
          <w:rFonts w:hint="eastAsia"/>
        </w:rPr>
        <w:t>如下：</w:t>
      </w:r>
    </w:p>
    <w:p>
      <w:pPr>
        <w:pStyle w:val="45"/>
        <w:numPr>
          <w:ilvl w:val="0"/>
          <w:numId w:val="5"/>
        </w:numPr>
        <w:ind w:firstLineChars="0"/>
      </w:pPr>
      <w:r>
        <w:rPr>
          <w:rFonts w:hint="eastAsia"/>
        </w:rPr>
        <w:t>预算管理：</w:t>
      </w:r>
      <w:r>
        <w:rPr>
          <w:rFonts w:hint="eastAsia"/>
          <w:lang w:val="en-US" w:eastAsia="zh-CN"/>
        </w:rPr>
        <w:t>关闭新增预算及删除、追加预算功能，所有预算一体化平台推送采购预算</w:t>
      </w:r>
      <w:r>
        <w:rPr>
          <w:rFonts w:hint="eastAsia"/>
        </w:rPr>
        <w:t>；</w:t>
      </w:r>
    </w:p>
    <w:p>
      <w:pPr>
        <w:pStyle w:val="45"/>
        <w:numPr>
          <w:ilvl w:val="0"/>
          <w:numId w:val="5"/>
        </w:numPr>
        <w:ind w:firstLineChars="0"/>
      </w:pPr>
      <w:r>
        <w:rPr>
          <w:rFonts w:hint="eastAsia"/>
        </w:rPr>
        <w:t>查看项目预算审核：在该菜单</w:t>
      </w:r>
      <w:r>
        <w:t>可以查看项目的采购计划和审核情况</w:t>
      </w:r>
      <w:r>
        <w:rPr>
          <w:rFonts w:hint="eastAsia"/>
        </w:rPr>
        <w:t>；</w:t>
      </w:r>
    </w:p>
    <w:p>
      <w:pPr>
        <w:pStyle w:val="45"/>
        <w:numPr>
          <w:ilvl w:val="0"/>
          <w:numId w:val="5"/>
        </w:numPr>
        <w:ind w:firstLineChars="0"/>
      </w:pPr>
      <w:r>
        <w:rPr>
          <w:rFonts w:hint="eastAsia"/>
        </w:rPr>
        <w:t>查看项目组织形式：采购办</w:t>
      </w:r>
      <w:r>
        <w:t>可在此查看、监督项目的组织形式</w:t>
      </w:r>
      <w:r>
        <w:rPr>
          <w:rFonts w:hint="eastAsia"/>
        </w:rPr>
        <w:t>的</w:t>
      </w:r>
      <w:r>
        <w:t>情况</w:t>
      </w:r>
      <w:r>
        <w:rPr>
          <w:rFonts w:hint="eastAsia"/>
        </w:rPr>
        <w:t>。</w:t>
      </w:r>
    </w:p>
    <w:p>
      <w:pPr>
        <w:pStyle w:val="45"/>
        <w:numPr>
          <w:ilvl w:val="0"/>
          <w:numId w:val="5"/>
        </w:numPr>
        <w:ind w:firstLineChars="0"/>
      </w:pPr>
      <w:r>
        <w:rPr>
          <w:rFonts w:hint="eastAsia"/>
        </w:rPr>
        <w:t>查看指定集采中心：可以查看到</w:t>
      </w:r>
      <w:r>
        <w:rPr>
          <w:rFonts w:hint="eastAsia"/>
          <w:b/>
        </w:rPr>
        <w:t>集中采购</w:t>
      </w:r>
      <w:r>
        <w:rPr>
          <w:rFonts w:hint="eastAsia"/>
        </w:rPr>
        <w:t>的项目指定集中采购机构代理的情况；</w:t>
      </w:r>
    </w:p>
    <w:p>
      <w:pPr>
        <w:pStyle w:val="45"/>
        <w:numPr>
          <w:ilvl w:val="0"/>
          <w:numId w:val="5"/>
        </w:numPr>
        <w:ind w:firstLineChars="0"/>
      </w:pPr>
      <w:r>
        <w:rPr>
          <w:rFonts w:hint="eastAsia"/>
        </w:rPr>
        <w:t>查看采购机构和采购方式：可以查看到</w:t>
      </w:r>
      <w:r>
        <w:rPr>
          <w:rFonts w:hint="eastAsia"/>
          <w:b/>
        </w:rPr>
        <w:t>部门采购</w:t>
      </w:r>
      <w:r>
        <w:rPr>
          <w:rFonts w:hint="eastAsia"/>
        </w:rPr>
        <w:t>与</w:t>
      </w:r>
      <w:r>
        <w:rPr>
          <w:rFonts w:hint="eastAsia"/>
          <w:b/>
        </w:rPr>
        <w:t>分散采购</w:t>
      </w:r>
      <w:r>
        <w:rPr>
          <w:rFonts w:hint="eastAsia"/>
        </w:rPr>
        <w:t>的项目选择的采购机构和采购方式的情况；</w:t>
      </w:r>
    </w:p>
    <w:p>
      <w:pPr>
        <w:pStyle w:val="45"/>
        <w:numPr>
          <w:ilvl w:val="0"/>
          <w:numId w:val="5"/>
        </w:numPr>
        <w:ind w:firstLineChars="0"/>
      </w:pPr>
      <w:r>
        <w:rPr>
          <w:rFonts w:hint="eastAsia"/>
        </w:rPr>
        <w:t>委托社会代理：可以查看到选择了委托社会代理采购的项目指定社会代理的情况；</w:t>
      </w:r>
    </w:p>
    <w:p>
      <w:pPr>
        <w:pStyle w:val="45"/>
        <w:ind w:left="360" w:firstLine="0" w:firstLineChars="0"/>
      </w:pPr>
    </w:p>
    <w:p>
      <w:pPr>
        <w:pStyle w:val="3"/>
        <w:bidi w:val="0"/>
        <w:ind w:left="777" w:leftChars="0" w:firstLineChars="0"/>
        <w:rPr>
          <w:rFonts w:hint="default"/>
          <w:lang w:val="en-US" w:eastAsia="zh-CN"/>
        </w:rPr>
      </w:pPr>
      <w:bookmarkStart w:id="17" w:name="_Toc6147"/>
      <w:r>
        <w:rPr>
          <w:rFonts w:hint="eastAsia"/>
          <w:lang w:val="en-US" w:eastAsia="zh-CN"/>
        </w:rPr>
        <w:t>预算管理</w:t>
      </w:r>
      <w:bookmarkEnd w:id="17"/>
    </w:p>
    <w:p>
      <w:pPr>
        <w:rPr>
          <w:rFonts w:hint="default"/>
          <w:lang w:val="en-US" w:eastAsia="zh-CN"/>
        </w:rPr>
      </w:pPr>
      <w:r>
        <w:rPr>
          <w:rFonts w:hint="default"/>
          <w:lang w:val="en-US" w:eastAsia="zh-CN"/>
        </w:rPr>
        <w:t>点击【在线审批】-【预算管理】菜单，再点【新增预算】按钮</w:t>
      </w:r>
    </w:p>
    <w:p>
      <w:pPr>
        <w:rPr>
          <w:rFonts w:hint="default"/>
          <w:lang w:val="en-US" w:eastAsia="zh-CN"/>
        </w:rPr>
      </w:pPr>
      <w:r>
        <w:rPr>
          <w:rFonts w:hint="default"/>
          <w:lang w:val="en-US" w:eastAsia="zh-CN"/>
        </w:rPr>
        <w:drawing>
          <wp:inline distT="0" distB="0" distL="114300" distR="114300">
            <wp:extent cx="5264785" cy="2108200"/>
            <wp:effectExtent l="0" t="0" r="12065" b="635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1"/>
                    <a:stretch>
                      <a:fillRect/>
                    </a:stretch>
                  </pic:blipFill>
                  <pic:spPr>
                    <a:xfrm>
                      <a:off x="0" y="0"/>
                      <a:ext cx="5264785" cy="2108200"/>
                    </a:xfrm>
                    <a:prstGeom prst="rect">
                      <a:avLst/>
                    </a:prstGeom>
                    <a:noFill/>
                    <a:ln>
                      <a:noFill/>
                    </a:ln>
                  </pic:spPr>
                </pic:pic>
              </a:graphicData>
            </a:graphic>
          </wp:inline>
        </w:drawing>
      </w:r>
    </w:p>
    <w:p>
      <w:pPr>
        <w:rPr>
          <w:rFonts w:hint="default"/>
          <w:lang w:val="en-US" w:eastAsia="zh-CN"/>
        </w:rPr>
      </w:pPr>
      <w:r>
        <w:rPr>
          <w:rFonts w:hint="default"/>
          <w:lang w:val="en-US" w:eastAsia="zh-CN"/>
        </w:rPr>
        <w:t>选择需要加预算的采购单位，填写预算信息，保存即可。</w:t>
      </w:r>
    </w:p>
    <w:p>
      <w:pPr>
        <w:rPr>
          <w:rFonts w:hint="default"/>
          <w:lang w:val="en-US" w:eastAsia="zh-CN"/>
        </w:rPr>
      </w:pPr>
      <w:r>
        <w:rPr>
          <w:rFonts w:hint="default"/>
          <w:lang w:val="en-US" w:eastAsia="zh-CN"/>
        </w:rPr>
        <w:drawing>
          <wp:inline distT="0" distB="0" distL="0" distR="0">
            <wp:extent cx="5274310" cy="212407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74310" cy="2124375"/>
                    </a:xfrm>
                    <a:prstGeom prst="rect">
                      <a:avLst/>
                    </a:prstGeom>
                  </pic:spPr>
                </pic:pic>
              </a:graphicData>
            </a:graphic>
          </wp:inline>
        </w:drawing>
      </w:r>
    </w:p>
    <w:p>
      <w:pPr>
        <w:rPr>
          <w:rFonts w:hint="default"/>
          <w:lang w:val="en-US" w:eastAsia="zh-CN"/>
        </w:rPr>
      </w:pPr>
    </w:p>
    <w:p>
      <w:pPr>
        <w:rPr>
          <w:rFonts w:hint="default"/>
          <w:lang w:val="en-US" w:eastAsia="zh-CN"/>
        </w:rPr>
      </w:pPr>
      <w:r>
        <w:rPr>
          <w:rFonts w:hint="default"/>
          <w:lang w:val="en-US" w:eastAsia="zh-CN"/>
        </w:rPr>
        <w:t>重要说明：采购单位必须基本信息审核通过后才能挑选到！！！</w:t>
      </w:r>
    </w:p>
    <w:p>
      <w:pPr>
        <w:rPr>
          <w:rFonts w:hint="default"/>
          <w:lang w:val="en-US" w:eastAsia="zh-CN"/>
        </w:rPr>
      </w:pPr>
      <w:r>
        <w:rPr>
          <w:rFonts w:hint="eastAsia"/>
          <w:lang w:val="en-US" w:eastAsia="zh-CN"/>
        </w:rPr>
        <w:t>新增</w:t>
      </w:r>
      <w:r>
        <w:rPr>
          <w:rFonts w:hint="default"/>
          <w:lang w:val="en-US" w:eastAsia="zh-CN"/>
        </w:rPr>
        <w:t>虚拟预算</w:t>
      </w:r>
      <w:r>
        <w:rPr>
          <w:rFonts w:hint="eastAsia"/>
          <w:lang w:val="en-US" w:eastAsia="zh-CN"/>
        </w:rPr>
        <w:t>场景</w:t>
      </w:r>
      <w:r>
        <w:rPr>
          <w:rFonts w:hint="default"/>
          <w:lang w:val="en-US" w:eastAsia="zh-CN"/>
        </w:rPr>
        <w:t>：</w:t>
      </w:r>
    </w:p>
    <w:p>
      <w:pPr>
        <w:rPr>
          <w:rFonts w:hint="default"/>
          <w:lang w:val="en-US" w:eastAsia="zh-CN"/>
        </w:rPr>
      </w:pPr>
      <w:r>
        <w:rPr>
          <w:rFonts w:hint="default"/>
          <w:lang w:val="en-US" w:eastAsia="zh-CN"/>
        </w:rPr>
        <w:t>1、政府采购预算暂未下达（有资金保障），需先行走政府采购程序的采购项目；</w:t>
      </w:r>
    </w:p>
    <w:p>
      <w:pPr>
        <w:rPr>
          <w:rFonts w:hint="default"/>
          <w:lang w:val="en-US" w:eastAsia="zh-CN"/>
        </w:rPr>
      </w:pPr>
      <w:r>
        <w:rPr>
          <w:rFonts w:hint="default"/>
          <w:lang w:val="en-US" w:eastAsia="zh-CN"/>
        </w:rPr>
        <w:t>2、省直预算单位统招分签、分付的采购项目（省市县三级预算）；</w:t>
      </w:r>
    </w:p>
    <w:p>
      <w:pPr>
        <w:rPr>
          <w:rFonts w:hint="default"/>
          <w:lang w:val="en-US" w:eastAsia="zh-CN"/>
        </w:rPr>
      </w:pPr>
      <w:r>
        <w:rPr>
          <w:rFonts w:hint="default"/>
          <w:lang w:val="en-US" w:eastAsia="zh-CN"/>
        </w:rPr>
        <w:t>3、物业等一招三年分年度支付项目；</w:t>
      </w:r>
    </w:p>
    <w:p>
      <w:pPr>
        <w:rPr>
          <w:rFonts w:hint="default"/>
          <w:lang w:val="en-US" w:eastAsia="zh-CN"/>
        </w:rPr>
      </w:pPr>
      <w:r>
        <w:rPr>
          <w:rFonts w:hint="default"/>
          <w:lang w:val="en-US" w:eastAsia="zh-CN"/>
        </w:rPr>
        <w:t>4、政府采购预算由财政安排部分预算，其他部分由单位自筹等政府采购项目；</w:t>
      </w:r>
    </w:p>
    <w:p>
      <w:pPr>
        <w:rPr>
          <w:rFonts w:hint="default"/>
          <w:lang w:val="en-US" w:eastAsia="zh-CN"/>
        </w:rPr>
      </w:pPr>
      <w:r>
        <w:rPr>
          <w:rFonts w:hint="default"/>
          <w:lang w:val="en-US" w:eastAsia="zh-CN"/>
        </w:rPr>
        <w:t>5、银行、海关、税务等中央驻赣单位，需通过我省政府交易系统实施采购流程的项目。</w:t>
      </w:r>
    </w:p>
    <w:p>
      <w:pPr>
        <w:rPr>
          <w:rFonts w:hint="default"/>
          <w:lang w:val="en-US" w:eastAsia="zh-CN"/>
        </w:rPr>
      </w:pPr>
    </w:p>
    <w:p>
      <w:pPr>
        <w:pStyle w:val="3"/>
        <w:ind w:left="777" w:leftChars="0" w:firstLineChars="0"/>
      </w:pPr>
      <w:bookmarkStart w:id="18" w:name="_Toc19160"/>
      <w:r>
        <w:t>协议采购</w:t>
      </w:r>
      <w:bookmarkEnd w:id="18"/>
    </w:p>
    <w:p>
      <w:r>
        <w:rPr>
          <w:rFonts w:hint="eastAsia"/>
        </w:rPr>
        <w:t>协议采购模块中，采购办可以维护本辖区内的协议商品供应商库，添加或者删除商品信息、添加或者删除协议供应商、对竞价记录实时监管、查看、退回等等操作。</w:t>
      </w:r>
    </w:p>
    <w:p>
      <w:r>
        <w:drawing>
          <wp:inline distT="0" distB="0" distL="0" distR="0">
            <wp:extent cx="5957570" cy="244157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3"/>
                    <a:stretch>
                      <a:fillRect/>
                    </a:stretch>
                  </pic:blipFill>
                  <pic:spPr>
                    <a:xfrm>
                      <a:off x="0" y="0"/>
                      <a:ext cx="5962814" cy="2443566"/>
                    </a:xfrm>
                    <a:prstGeom prst="rect">
                      <a:avLst/>
                    </a:prstGeom>
                  </pic:spPr>
                </pic:pic>
              </a:graphicData>
            </a:graphic>
          </wp:inline>
        </w:drawing>
      </w:r>
    </w:p>
    <w:p>
      <w:pPr>
        <w:pStyle w:val="45"/>
        <w:numPr>
          <w:ilvl w:val="1"/>
          <w:numId w:val="5"/>
        </w:numPr>
        <w:ind w:firstLineChars="0"/>
      </w:pPr>
      <w:r>
        <w:rPr>
          <w:rFonts w:hint="eastAsia"/>
        </w:rPr>
        <w:t>初次搭建需先点击“初始化品目”；</w:t>
      </w:r>
    </w:p>
    <w:p>
      <w:pPr>
        <w:pStyle w:val="45"/>
        <w:numPr>
          <w:ilvl w:val="1"/>
          <w:numId w:val="5"/>
        </w:numPr>
        <w:ind w:firstLineChars="0"/>
      </w:pPr>
      <w:r>
        <w:rPr>
          <w:rFonts w:hint="eastAsia"/>
        </w:rPr>
        <w:t>商品维护从上往下依次新增维护。</w:t>
      </w:r>
    </w:p>
    <w:p>
      <w:pPr>
        <w:ind w:left="420"/>
      </w:pPr>
      <w:r>
        <w:rPr>
          <w:rFonts w:hint="eastAsia"/>
        </w:rPr>
        <w:t>注：各县区未搭建商品库，统一共用市里的库；各县区如想搭建自己的库，可直接搭建，但是搭建之后只能使用自己的库，无法使用市里的库。</w:t>
      </w:r>
    </w:p>
    <w:p>
      <w:r>
        <w:drawing>
          <wp:inline distT="0" distB="0" distL="0" distR="0">
            <wp:extent cx="5300980" cy="1834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311183" cy="1838633"/>
                    </a:xfrm>
                    <a:prstGeom prst="rect">
                      <a:avLst/>
                    </a:prstGeom>
                  </pic:spPr>
                </pic:pic>
              </a:graphicData>
            </a:graphic>
          </wp:inline>
        </w:drawing>
      </w:r>
    </w:p>
    <w:p/>
    <w:p>
      <w:r>
        <w:rPr>
          <w:rFonts w:hint="eastAsia"/>
        </w:rPr>
        <w:t>在</w:t>
      </w:r>
      <w:r>
        <w:t>中心端，项目必须</w:t>
      </w:r>
      <w:r>
        <w:rPr>
          <w:rFonts w:hint="eastAsia"/>
        </w:rPr>
        <w:t>竞价</w:t>
      </w:r>
      <w:r>
        <w:t>结束或者报价结束才能进行退回竞价</w:t>
      </w:r>
      <w:r>
        <w:rPr>
          <w:rFonts w:hint="eastAsia"/>
        </w:rPr>
        <w:t>或</w:t>
      </w:r>
      <w:r>
        <w:t>报价</w:t>
      </w:r>
      <w:r>
        <w:rPr>
          <w:rFonts w:hint="eastAsia"/>
        </w:rPr>
        <w:t>。</w:t>
      </w:r>
    </w:p>
    <w:p>
      <w:pPr>
        <w:pStyle w:val="3"/>
        <w:ind w:left="777" w:leftChars="0" w:firstLineChars="0"/>
      </w:pPr>
      <w:bookmarkStart w:id="19" w:name="_Toc14809"/>
      <w:r>
        <w:t>公告及文件查看</w:t>
      </w:r>
      <w:bookmarkEnd w:id="19"/>
    </w:p>
    <w:p>
      <w:r>
        <w:rPr>
          <w:rFonts w:hint="eastAsia"/>
        </w:rPr>
        <w:t>该栏目下，可以实时对采购项目的采购公告、变更公告、采购招标文件、补遗（答疑）文件、结果公示进行查看与监管。</w:t>
      </w:r>
    </w:p>
    <w:p>
      <w:pPr>
        <w:pStyle w:val="3"/>
        <w:ind w:left="777" w:leftChars="0" w:firstLineChars="0"/>
      </w:pPr>
      <w:bookmarkStart w:id="20" w:name="_Toc28805"/>
      <w:r>
        <w:t>异常处理</w:t>
      </w:r>
      <w:bookmarkEnd w:id="20"/>
    </w:p>
    <w:p>
      <w:r>
        <w:rPr>
          <w:rFonts w:hint="eastAsia"/>
        </w:rPr>
        <w:t>异常处理栏目下，有三个菜单分别是“招标方式（废标）处理”、“非招标方式（废标）处理”和“预中标（成交）异常处理”。功能说明：</w:t>
      </w:r>
    </w:p>
    <w:p>
      <w:pPr>
        <w:pStyle w:val="45"/>
        <w:numPr>
          <w:ilvl w:val="0"/>
          <w:numId w:val="6"/>
        </w:numPr>
        <w:ind w:firstLineChars="0"/>
      </w:pPr>
      <w:r>
        <w:rPr>
          <w:rFonts w:hint="eastAsia"/>
        </w:rPr>
        <w:t>招标方式（废标）处理和非招标方式（废标）处理：分别针对于公开招标的项目和不是公开招标的其他采购方式的项目（如：竞争性谈判等），项目废标之后的处理流程。</w:t>
      </w:r>
    </w:p>
    <w:p>
      <w:pPr>
        <w:jc w:val="left"/>
      </w:pPr>
      <w:r>
        <w:rPr>
          <w:rFonts w:hint="eastAsia"/>
        </w:rPr>
        <w:t>而本次系统更新后，如果项目的采购方式需要变更的（例如，公开招标转竞争性谈判），</w:t>
      </w:r>
      <w:r>
        <w:t>且金额达到公开招标限额以上的</w:t>
      </w:r>
      <w:r>
        <w:rPr>
          <w:rFonts w:hint="eastAsia"/>
        </w:rPr>
        <w:t>，则该项目的废标处理就需要经过我们采购办进行确认同意之后才能重新招标；如果采购方式没有发生变更的，则不需要经过采购办审核，预算单位（或者主管预算单位）审核同意了项目即可重新招标；</w:t>
      </w:r>
    </w:p>
    <w:p>
      <w:r>
        <w:rPr>
          <w:rFonts w:hint="eastAsia"/>
        </w:rPr>
        <w:t>PS：采购办可以将已经审核通过的，但是由于某种原因需要退回项目的废标处理的，可以勾选到该项目，点“回第一步”后，该废标处理将回到编辑中的状态。操作如下：</w:t>
      </w:r>
    </w:p>
    <w:p>
      <w:r>
        <w:drawing>
          <wp:inline distT="0" distB="0" distL="0" distR="0">
            <wp:extent cx="5491480" cy="1057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539797" cy="1067636"/>
                    </a:xfrm>
                    <a:prstGeom prst="rect">
                      <a:avLst/>
                    </a:prstGeom>
                  </pic:spPr>
                </pic:pic>
              </a:graphicData>
            </a:graphic>
          </wp:inline>
        </w:drawing>
      </w:r>
    </w:p>
    <w:p>
      <w:pPr>
        <w:pStyle w:val="45"/>
        <w:numPr>
          <w:ilvl w:val="0"/>
          <w:numId w:val="6"/>
        </w:numPr>
        <w:ind w:firstLineChars="0"/>
      </w:pPr>
      <w:r>
        <w:t>预中标</w:t>
      </w:r>
      <w:r>
        <w:rPr>
          <w:rFonts w:hint="eastAsia"/>
        </w:rPr>
        <w:t>（成交）</w:t>
      </w:r>
      <w:r>
        <w:t>异常处理</w:t>
      </w:r>
      <w:r>
        <w:rPr>
          <w:rFonts w:hint="eastAsia"/>
        </w:rPr>
        <w:t>：对需要重新发布结果公示或者项目被质疑后的异常处理操作。</w:t>
      </w:r>
    </w:p>
    <w:p>
      <w:r>
        <w:rPr>
          <w:rFonts w:hint="eastAsia"/>
        </w:rPr>
        <w:t>本次系统更新后，如果代理在做预中标（成交）异常处理时，如果项目发生了实质性变化的（如需要变更采购项目的采购方式、变更中标人的排名顺序或者变更中标人单位名称的，均属于发生了实质性变化），则该项目的</w:t>
      </w:r>
      <w:r>
        <w:t>预中标</w:t>
      </w:r>
      <w:r>
        <w:rPr>
          <w:rFonts w:hint="eastAsia"/>
        </w:rPr>
        <w:t>（成交）</w:t>
      </w:r>
      <w:r>
        <w:t>异常处理</w:t>
      </w:r>
      <w:r>
        <w:rPr>
          <w:rFonts w:hint="eastAsia"/>
        </w:rPr>
        <w:t>就需要经过我们采购办进行确认同意；如果项目没有发生了实质性变化的，则不需要经过采购办审核，预算单位（或者主管预算单位）审核同意了项目即可。</w:t>
      </w:r>
    </w:p>
    <w:p>
      <w:pPr>
        <w:pStyle w:val="3"/>
        <w:ind w:left="777" w:leftChars="0" w:firstLineChars="0"/>
      </w:pPr>
      <w:bookmarkStart w:id="21" w:name="_Toc13032"/>
      <w:r>
        <w:t>查询</w:t>
      </w:r>
      <w:bookmarkEnd w:id="21"/>
    </w:p>
    <w:p>
      <w:r>
        <w:rPr>
          <w:rFonts w:hint="eastAsia"/>
        </w:rPr>
        <w:t>该栏目下，可以实时对供应商</w:t>
      </w:r>
      <w:r>
        <w:t>的报名情况、</w:t>
      </w:r>
      <w:r>
        <w:rPr>
          <w:rFonts w:hint="eastAsia"/>
        </w:rPr>
        <w:t>采购项目的中标通知书（指的是委托采购的中标通知书）、自行采购的中标通知书、</w:t>
      </w:r>
      <w:r>
        <w:t>标后数据</w:t>
      </w:r>
      <w:r>
        <w:rPr>
          <w:rFonts w:hint="eastAsia"/>
        </w:rPr>
        <w:t>等进行查看、监督管理。</w:t>
      </w:r>
    </w:p>
    <w:p>
      <w:pPr>
        <w:pStyle w:val="3"/>
        <w:ind w:left="777" w:leftChars="0" w:firstLineChars="0"/>
      </w:pPr>
      <w:bookmarkStart w:id="22" w:name="_Toc9275"/>
      <w:r>
        <w:t>备案</w:t>
      </w:r>
      <w:bookmarkEnd w:id="22"/>
    </w:p>
    <w:p>
      <w:r>
        <w:rPr>
          <w:rFonts w:hint="eastAsia"/>
        </w:rPr>
        <w:t>该栏目下，有以下菜单功能：“采购合同备案”、“协议采购合同备案”、“自行采购合同备案”以及“验收单备案”。功能说明：</w:t>
      </w:r>
    </w:p>
    <w:p>
      <w:pPr>
        <w:pStyle w:val="45"/>
        <w:numPr>
          <w:ilvl w:val="0"/>
          <w:numId w:val="7"/>
        </w:numPr>
        <w:ind w:firstLineChars="0"/>
      </w:pPr>
      <w:r>
        <w:rPr>
          <w:rFonts w:hint="eastAsia"/>
        </w:rPr>
        <w:t>系同更新前，采购办是需要审核委托采购合同、自行采购合同和验收单。系统更新后，委托采购合同、自行采购合同和验收单都由主管预算单位完成备案，不需要采购办审核了；</w:t>
      </w:r>
    </w:p>
    <w:p>
      <w:pPr>
        <w:pStyle w:val="3"/>
        <w:ind w:left="777" w:leftChars="0" w:firstLineChars="0"/>
      </w:pPr>
      <w:bookmarkStart w:id="23" w:name="_Toc9154"/>
      <w:r>
        <w:rPr>
          <w:rFonts w:hint="eastAsia"/>
        </w:rPr>
        <w:t>支付审核</w:t>
      </w:r>
      <w:bookmarkEnd w:id="23"/>
    </w:p>
    <w:p>
      <w:r>
        <w:rPr>
          <w:rFonts w:hint="eastAsia"/>
        </w:rPr>
        <w:t>该栏目下</w:t>
      </w:r>
      <w:r>
        <w:t>可审核</w:t>
      </w:r>
      <w:r>
        <w:rPr>
          <w:rFonts w:hint="eastAsia"/>
        </w:rPr>
        <w:t>采购项目</w:t>
      </w:r>
      <w:r>
        <w:t>中标供应商支付的金额。</w:t>
      </w:r>
    </w:p>
    <w:p>
      <w:pPr>
        <w:pStyle w:val="3"/>
        <w:ind w:left="777" w:leftChars="0" w:firstLineChars="0"/>
      </w:pPr>
      <w:bookmarkStart w:id="24" w:name="_Toc29657"/>
      <w:r>
        <w:rPr>
          <w:rFonts w:hint="eastAsia"/>
        </w:rPr>
        <w:t>专家</w:t>
      </w:r>
      <w:r>
        <w:t>管理</w:t>
      </w:r>
      <w:bookmarkEnd w:id="24"/>
    </w:p>
    <w:p>
      <w:pPr>
        <w:pStyle w:val="45"/>
        <w:numPr>
          <w:ilvl w:val="0"/>
          <w:numId w:val="8"/>
        </w:numPr>
        <w:ind w:firstLineChars="0"/>
      </w:pPr>
      <w:r>
        <w:rPr>
          <w:rFonts w:hint="eastAsia"/>
        </w:rPr>
        <w:t>专家</w:t>
      </w:r>
      <w:r>
        <w:t>信息</w:t>
      </w:r>
      <w:r>
        <w:rPr>
          <w:rFonts w:hint="eastAsia"/>
        </w:rPr>
        <w:t>审核</w:t>
      </w:r>
    </w:p>
    <w:p>
      <w:pPr>
        <w:ind w:firstLine="315" w:firstLineChars="150"/>
      </w:pPr>
      <w:r>
        <w:rPr>
          <w:rFonts w:hint="eastAsia"/>
        </w:rPr>
        <w:t>专家根据注册</w:t>
      </w:r>
      <w:r>
        <w:t>辖区</w:t>
      </w:r>
      <w:r>
        <w:rPr>
          <w:rFonts w:hint="eastAsia"/>
        </w:rPr>
        <w:t>由各市辖区</w:t>
      </w:r>
      <w:r>
        <w:t>审核，注册地</w:t>
      </w:r>
      <w:r>
        <w:rPr>
          <w:rFonts w:hint="eastAsia"/>
        </w:rPr>
        <w:t>为</w:t>
      </w:r>
      <w:r>
        <w:t>省本级</w:t>
      </w:r>
      <w:r>
        <w:rPr>
          <w:rFonts w:hint="eastAsia"/>
        </w:rPr>
        <w:t>即</w:t>
      </w:r>
      <w:r>
        <w:t>省里审核。</w:t>
      </w:r>
    </w:p>
    <w:p>
      <w:pPr>
        <w:pStyle w:val="45"/>
        <w:numPr>
          <w:ilvl w:val="0"/>
          <w:numId w:val="8"/>
        </w:numPr>
        <w:ind w:firstLineChars="0"/>
      </w:pPr>
      <w:r>
        <w:rPr>
          <w:rFonts w:hint="eastAsia"/>
        </w:rPr>
        <w:t>评标专业审核</w:t>
      </w:r>
    </w:p>
    <w:p>
      <w:pPr>
        <w:pStyle w:val="45"/>
        <w:ind w:left="360" w:firstLine="0" w:firstLineChars="0"/>
      </w:pPr>
      <w:r>
        <w:rPr>
          <w:rFonts w:hint="eastAsia"/>
        </w:rPr>
        <w:t>专业</w:t>
      </w:r>
      <w:r>
        <w:t>审核</w:t>
      </w:r>
      <w:r>
        <w:rPr>
          <w:rFonts w:hint="eastAsia"/>
        </w:rPr>
        <w:t>由</w:t>
      </w:r>
      <w:r>
        <w:t>市里审核----省里审核</w:t>
      </w:r>
      <w:r>
        <w:rPr>
          <w:rFonts w:hint="eastAsia"/>
        </w:rPr>
        <w:t>-</w:t>
      </w:r>
      <w:r>
        <w:t>---</w:t>
      </w:r>
      <w:r>
        <w:rPr>
          <w:rFonts w:hint="eastAsia"/>
        </w:rPr>
        <w:t>省</w:t>
      </w:r>
      <w:r>
        <w:t>公管办</w:t>
      </w:r>
    </w:p>
    <w:p>
      <w:pPr>
        <w:pStyle w:val="45"/>
        <w:ind w:left="360" w:firstLine="0" w:firstLineChars="0"/>
      </w:pPr>
    </w:p>
    <w:p>
      <w:pPr>
        <w:pStyle w:val="45"/>
        <w:ind w:left="360" w:firstLine="0" w:firstLineChars="0"/>
      </w:pPr>
    </w:p>
    <w:p>
      <w:r>
        <w:drawing>
          <wp:inline distT="0" distB="0" distL="0" distR="0">
            <wp:extent cx="5419725" cy="242887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6"/>
                    <a:stretch>
                      <a:fillRect/>
                    </a:stretch>
                  </pic:blipFill>
                  <pic:spPr>
                    <a:xfrm>
                      <a:off x="0" y="0"/>
                      <a:ext cx="5426904" cy="2431959"/>
                    </a:xfrm>
                    <a:prstGeom prst="rect">
                      <a:avLst/>
                    </a:prstGeom>
                  </pic:spPr>
                </pic:pic>
              </a:graphicData>
            </a:graphic>
          </wp:inline>
        </w:drawing>
      </w:r>
    </w:p>
    <w:p/>
    <w:sectPr>
      <w:headerReference r:id="rId5" w:type="first"/>
      <w:footerReference r:id="rId7" w:type="first"/>
      <w:headerReference r:id="rId3" w:type="default"/>
      <w:footerReference r:id="rId6" w:type="default"/>
      <w:head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caps/>
        <w:color w:val="000000" w:themeColor="text1"/>
      </w:rPr>
    </w:pPr>
    <w:r>
      <w:rPr>
        <w:caps/>
        <w:color w:val="000000" w:themeColor="text1"/>
      </w:rPr>
      <w:fldChar w:fldCharType="begin"/>
    </w:r>
    <w:r>
      <w:rPr>
        <w:caps/>
        <w:color w:val="000000" w:themeColor="text1"/>
      </w:rPr>
      <w:instrText xml:space="preserve">PAGE   \* MERGEFORMAT</w:instrText>
    </w:r>
    <w:r>
      <w:rPr>
        <w:caps/>
        <w:color w:val="000000" w:themeColor="text1"/>
      </w:rPr>
      <w:fldChar w:fldCharType="separate"/>
    </w:r>
    <w:r>
      <w:rPr>
        <w:caps/>
        <w:color w:val="000000" w:themeColor="text1"/>
        <w:lang w:val="zh-CN"/>
      </w:rPr>
      <w:t>1</w:t>
    </w:r>
    <w:r>
      <w:rPr>
        <w:caps/>
        <w:color w:val="000000" w:themeColor="text1"/>
      </w:rP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b/>
        <w:sz w:val="24"/>
        <w:szCs w:val="24"/>
      </w:rPr>
    </w:pPr>
    <w:r>
      <w:rPr>
        <w:rFonts w:hint="eastAsia"/>
        <w:b/>
        <w:sz w:val="24"/>
        <w:szCs w:val="24"/>
      </w:rPr>
      <w:t>1</w:t>
    </w:r>
  </w:p>
  <w:p>
    <w:pPr>
      <w:pStyle w:val="20"/>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rFonts w:hint="eastAsia"/>
      </w:rPr>
      <w:t>江西省公共资源电子交易服务平台政府采购子系统－采购办操作手册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2"/>
      </w:rPr>
    </w:pPr>
    <w:r>
      <w:fldChar w:fldCharType="begin"/>
    </w:r>
    <w:r>
      <w:rPr>
        <w:rStyle w:val="32"/>
      </w:rPr>
      <w:instrText xml:space="preserve">PAGE  </w:instrText>
    </w:r>
    <w:r>
      <w:fldChar w:fldCharType="end"/>
    </w:r>
  </w:p>
  <w:p>
    <w:pPr>
      <w:pStyle w:val="21"/>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1080" w:firstLineChars="600"/>
      <w:jc w:val="both"/>
    </w:pPr>
    <w:r>
      <w:rPr>
        <w:rFonts w:hint="eastAsia"/>
      </w:rPr>
      <w:t xml:space="preserve">    江西省公共资源电子交易服务平台政府采购子系统－招标代理操作手册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decimal"/>
      <w:pStyle w:val="2"/>
      <w:lvlText w:val="%1."/>
      <w:lvlJc w:val="left"/>
      <w:pPr>
        <w:tabs>
          <w:tab w:val="left" w:pos="425"/>
        </w:tabs>
        <w:ind w:left="425" w:hanging="425"/>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decimal"/>
      <w:pStyle w:val="3"/>
      <w:lvlText w:val="%1.%2."/>
      <w:lvlJc w:val="left"/>
      <w:pPr>
        <w:tabs>
          <w:tab w:val="left" w:pos="851"/>
        </w:tabs>
        <w:ind w:left="777" w:hanging="567"/>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2" w:tentative="0">
      <w:start w:val="1"/>
      <w:numFmt w:val="decimal"/>
      <w:pStyle w:val="4"/>
      <w:lvlText w:val="%1.%2.%3."/>
      <w:lvlJc w:val="left"/>
      <w:pPr>
        <w:tabs>
          <w:tab w:val="left" w:pos="709"/>
        </w:tabs>
        <w:ind w:left="709" w:hanging="709"/>
      </w:pPr>
    </w:lvl>
    <w:lvl w:ilvl="3" w:tentative="0">
      <w:start w:val="1"/>
      <w:numFmt w:val="decimal"/>
      <w:pStyle w:val="5"/>
      <w:lvlText w:val="%1.%2.%3.%4."/>
      <w:lvlJc w:val="left"/>
      <w:pPr>
        <w:tabs>
          <w:tab w:val="left" w:pos="851"/>
        </w:tabs>
        <w:ind w:left="851" w:hanging="851"/>
      </w:pPr>
    </w:lvl>
    <w:lvl w:ilvl="4" w:tentative="0">
      <w:start w:val="1"/>
      <w:numFmt w:val="decimal"/>
      <w:pStyle w:val="6"/>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028730CA"/>
    <w:multiLevelType w:val="multilevel"/>
    <w:tmpl w:val="028730C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260676"/>
    <w:multiLevelType w:val="multilevel"/>
    <w:tmpl w:val="1526067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0092F97"/>
    <w:multiLevelType w:val="multilevel"/>
    <w:tmpl w:val="20092F97"/>
    <w:lvl w:ilvl="0" w:tentative="0">
      <w:start w:val="1"/>
      <w:numFmt w:val="decimal"/>
      <w:lvlText w:val="%1）"/>
      <w:lvlJc w:val="left"/>
      <w:pPr>
        <w:ind w:left="360" w:hanging="36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4713831"/>
    <w:multiLevelType w:val="multilevel"/>
    <w:tmpl w:val="2471383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12C4321"/>
    <w:multiLevelType w:val="multilevel"/>
    <w:tmpl w:val="512C43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6891C8A"/>
    <w:multiLevelType w:val="multilevel"/>
    <w:tmpl w:val="56891C8A"/>
    <w:lvl w:ilvl="0" w:tentative="0">
      <w:start w:val="1"/>
      <w:numFmt w:val="decimal"/>
      <w:lvlText w:val="%1）"/>
      <w:lvlJc w:val="left"/>
      <w:pPr>
        <w:ind w:left="644" w:hanging="36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7">
    <w:nsid w:val="663711DE"/>
    <w:multiLevelType w:val="multilevel"/>
    <w:tmpl w:val="663711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3"/>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NjMDc2MzI5N2U3ZWRmOTEwNmYwY2I1YjdlN2E5MjEifQ=="/>
  </w:docVars>
  <w:rsids>
    <w:rsidRoot w:val="00172A27"/>
    <w:rsid w:val="000018FC"/>
    <w:rsid w:val="00006BF0"/>
    <w:rsid w:val="0001177B"/>
    <w:rsid w:val="0002676D"/>
    <w:rsid w:val="00026EC5"/>
    <w:rsid w:val="00035FC3"/>
    <w:rsid w:val="00057A9E"/>
    <w:rsid w:val="000D6081"/>
    <w:rsid w:val="000E2DC0"/>
    <w:rsid w:val="000F219B"/>
    <w:rsid w:val="000F21D4"/>
    <w:rsid w:val="00105155"/>
    <w:rsid w:val="001107E6"/>
    <w:rsid w:val="001162A7"/>
    <w:rsid w:val="00121D99"/>
    <w:rsid w:val="00123A16"/>
    <w:rsid w:val="00125660"/>
    <w:rsid w:val="00134C29"/>
    <w:rsid w:val="00147849"/>
    <w:rsid w:val="001666AC"/>
    <w:rsid w:val="00171DE0"/>
    <w:rsid w:val="00172A27"/>
    <w:rsid w:val="001857DF"/>
    <w:rsid w:val="00193553"/>
    <w:rsid w:val="001A1159"/>
    <w:rsid w:val="001A58DA"/>
    <w:rsid w:val="001B38E5"/>
    <w:rsid w:val="001B3B31"/>
    <w:rsid w:val="001D6AB4"/>
    <w:rsid w:val="001E2551"/>
    <w:rsid w:val="001E5F15"/>
    <w:rsid w:val="001F054C"/>
    <w:rsid w:val="00214175"/>
    <w:rsid w:val="0022740D"/>
    <w:rsid w:val="00230174"/>
    <w:rsid w:val="00231982"/>
    <w:rsid w:val="002342FE"/>
    <w:rsid w:val="00246896"/>
    <w:rsid w:val="00251DCD"/>
    <w:rsid w:val="00267C53"/>
    <w:rsid w:val="0027131F"/>
    <w:rsid w:val="00275CAD"/>
    <w:rsid w:val="00277B7B"/>
    <w:rsid w:val="00287F27"/>
    <w:rsid w:val="002A5251"/>
    <w:rsid w:val="002A771C"/>
    <w:rsid w:val="002C148F"/>
    <w:rsid w:val="002D5940"/>
    <w:rsid w:val="002D73BF"/>
    <w:rsid w:val="002E47C6"/>
    <w:rsid w:val="002E78AD"/>
    <w:rsid w:val="003043ED"/>
    <w:rsid w:val="00317854"/>
    <w:rsid w:val="0034173D"/>
    <w:rsid w:val="00351E88"/>
    <w:rsid w:val="00362965"/>
    <w:rsid w:val="0037156B"/>
    <w:rsid w:val="00373963"/>
    <w:rsid w:val="00382158"/>
    <w:rsid w:val="00383215"/>
    <w:rsid w:val="003902B2"/>
    <w:rsid w:val="00393B5C"/>
    <w:rsid w:val="003A6B69"/>
    <w:rsid w:val="003B55BA"/>
    <w:rsid w:val="003C33C3"/>
    <w:rsid w:val="003D25EB"/>
    <w:rsid w:val="003D2DF4"/>
    <w:rsid w:val="003D36B0"/>
    <w:rsid w:val="003D63DB"/>
    <w:rsid w:val="003E646A"/>
    <w:rsid w:val="003F5AA0"/>
    <w:rsid w:val="003F5CE6"/>
    <w:rsid w:val="00400A0C"/>
    <w:rsid w:val="004061C7"/>
    <w:rsid w:val="0041696A"/>
    <w:rsid w:val="00434C8A"/>
    <w:rsid w:val="00443E97"/>
    <w:rsid w:val="00444135"/>
    <w:rsid w:val="004469CF"/>
    <w:rsid w:val="00450093"/>
    <w:rsid w:val="004672CB"/>
    <w:rsid w:val="00471DB6"/>
    <w:rsid w:val="00473C0A"/>
    <w:rsid w:val="004872B4"/>
    <w:rsid w:val="00496AB6"/>
    <w:rsid w:val="004A6F72"/>
    <w:rsid w:val="004A700A"/>
    <w:rsid w:val="004C4E46"/>
    <w:rsid w:val="004D2958"/>
    <w:rsid w:val="004D66CD"/>
    <w:rsid w:val="004E33D5"/>
    <w:rsid w:val="004E58A4"/>
    <w:rsid w:val="004E5FE4"/>
    <w:rsid w:val="004F5356"/>
    <w:rsid w:val="004F65C6"/>
    <w:rsid w:val="00514327"/>
    <w:rsid w:val="005337BC"/>
    <w:rsid w:val="00541C14"/>
    <w:rsid w:val="00551D3A"/>
    <w:rsid w:val="00556B00"/>
    <w:rsid w:val="00565C14"/>
    <w:rsid w:val="005737A7"/>
    <w:rsid w:val="00574C52"/>
    <w:rsid w:val="00586E76"/>
    <w:rsid w:val="00590DC8"/>
    <w:rsid w:val="00591514"/>
    <w:rsid w:val="00593A7B"/>
    <w:rsid w:val="00593F13"/>
    <w:rsid w:val="00596611"/>
    <w:rsid w:val="00597628"/>
    <w:rsid w:val="005A0DDC"/>
    <w:rsid w:val="005B2531"/>
    <w:rsid w:val="005B55C1"/>
    <w:rsid w:val="005D1FBD"/>
    <w:rsid w:val="005E3587"/>
    <w:rsid w:val="005F4947"/>
    <w:rsid w:val="0060331A"/>
    <w:rsid w:val="0060363A"/>
    <w:rsid w:val="00623967"/>
    <w:rsid w:val="00623EFB"/>
    <w:rsid w:val="00626F7D"/>
    <w:rsid w:val="00654601"/>
    <w:rsid w:val="00665BB4"/>
    <w:rsid w:val="00686337"/>
    <w:rsid w:val="00692B8A"/>
    <w:rsid w:val="006A3297"/>
    <w:rsid w:val="006B5FFF"/>
    <w:rsid w:val="006B67FB"/>
    <w:rsid w:val="006C1D7C"/>
    <w:rsid w:val="006C7DB9"/>
    <w:rsid w:val="006D1451"/>
    <w:rsid w:val="006D2140"/>
    <w:rsid w:val="006D3861"/>
    <w:rsid w:val="006E0346"/>
    <w:rsid w:val="006F2E75"/>
    <w:rsid w:val="006F551E"/>
    <w:rsid w:val="00706A69"/>
    <w:rsid w:val="007169CE"/>
    <w:rsid w:val="00716E32"/>
    <w:rsid w:val="0071712A"/>
    <w:rsid w:val="00720F4D"/>
    <w:rsid w:val="00722B21"/>
    <w:rsid w:val="00730072"/>
    <w:rsid w:val="00731B36"/>
    <w:rsid w:val="00737265"/>
    <w:rsid w:val="00745E2E"/>
    <w:rsid w:val="007511AC"/>
    <w:rsid w:val="007518F7"/>
    <w:rsid w:val="00751BAC"/>
    <w:rsid w:val="007535E6"/>
    <w:rsid w:val="00776C05"/>
    <w:rsid w:val="00776DD0"/>
    <w:rsid w:val="00792A5F"/>
    <w:rsid w:val="007B4CC0"/>
    <w:rsid w:val="007B7262"/>
    <w:rsid w:val="007C1275"/>
    <w:rsid w:val="007C3332"/>
    <w:rsid w:val="007C4A4F"/>
    <w:rsid w:val="007F05BA"/>
    <w:rsid w:val="007F29AC"/>
    <w:rsid w:val="00806FC1"/>
    <w:rsid w:val="008121BF"/>
    <w:rsid w:val="008211F0"/>
    <w:rsid w:val="00822F7B"/>
    <w:rsid w:val="0083086C"/>
    <w:rsid w:val="0084165C"/>
    <w:rsid w:val="008903D2"/>
    <w:rsid w:val="0089199C"/>
    <w:rsid w:val="008947AD"/>
    <w:rsid w:val="00897BC2"/>
    <w:rsid w:val="008A0650"/>
    <w:rsid w:val="008A169A"/>
    <w:rsid w:val="008A369B"/>
    <w:rsid w:val="008A6B52"/>
    <w:rsid w:val="008C3EC6"/>
    <w:rsid w:val="008C7796"/>
    <w:rsid w:val="008E1C45"/>
    <w:rsid w:val="008E566E"/>
    <w:rsid w:val="00900EE7"/>
    <w:rsid w:val="00901592"/>
    <w:rsid w:val="00905CBB"/>
    <w:rsid w:val="0091413C"/>
    <w:rsid w:val="00915598"/>
    <w:rsid w:val="009245EB"/>
    <w:rsid w:val="00931485"/>
    <w:rsid w:val="00931C76"/>
    <w:rsid w:val="0095115A"/>
    <w:rsid w:val="00954A57"/>
    <w:rsid w:val="00961D3D"/>
    <w:rsid w:val="00971ECB"/>
    <w:rsid w:val="0097531D"/>
    <w:rsid w:val="00986AB5"/>
    <w:rsid w:val="009B3E10"/>
    <w:rsid w:val="009C68DF"/>
    <w:rsid w:val="009D2778"/>
    <w:rsid w:val="009D6E0C"/>
    <w:rsid w:val="009E0BC3"/>
    <w:rsid w:val="009E67E5"/>
    <w:rsid w:val="00A0084A"/>
    <w:rsid w:val="00A141B4"/>
    <w:rsid w:val="00A20DCD"/>
    <w:rsid w:val="00A22A69"/>
    <w:rsid w:val="00A31228"/>
    <w:rsid w:val="00A33E7A"/>
    <w:rsid w:val="00A35809"/>
    <w:rsid w:val="00A36E33"/>
    <w:rsid w:val="00A40DD9"/>
    <w:rsid w:val="00A43639"/>
    <w:rsid w:val="00A56418"/>
    <w:rsid w:val="00A56814"/>
    <w:rsid w:val="00A573A1"/>
    <w:rsid w:val="00A60463"/>
    <w:rsid w:val="00A76107"/>
    <w:rsid w:val="00A80427"/>
    <w:rsid w:val="00AA26F2"/>
    <w:rsid w:val="00AB0930"/>
    <w:rsid w:val="00AC1EAC"/>
    <w:rsid w:val="00AD218E"/>
    <w:rsid w:val="00AE0DF7"/>
    <w:rsid w:val="00B06357"/>
    <w:rsid w:val="00B06B1B"/>
    <w:rsid w:val="00B152AF"/>
    <w:rsid w:val="00B174F0"/>
    <w:rsid w:val="00B30072"/>
    <w:rsid w:val="00B317D9"/>
    <w:rsid w:val="00B33343"/>
    <w:rsid w:val="00B54DF5"/>
    <w:rsid w:val="00B77879"/>
    <w:rsid w:val="00B82CEE"/>
    <w:rsid w:val="00B851E3"/>
    <w:rsid w:val="00B85DC7"/>
    <w:rsid w:val="00BA1819"/>
    <w:rsid w:val="00BB0707"/>
    <w:rsid w:val="00BB0AEF"/>
    <w:rsid w:val="00BB2A22"/>
    <w:rsid w:val="00BC457E"/>
    <w:rsid w:val="00BF63B3"/>
    <w:rsid w:val="00C4312A"/>
    <w:rsid w:val="00C545A3"/>
    <w:rsid w:val="00C61871"/>
    <w:rsid w:val="00C67ACB"/>
    <w:rsid w:val="00C67D8C"/>
    <w:rsid w:val="00C87211"/>
    <w:rsid w:val="00C910B7"/>
    <w:rsid w:val="00C95C6E"/>
    <w:rsid w:val="00CB6898"/>
    <w:rsid w:val="00CC4A23"/>
    <w:rsid w:val="00CD054E"/>
    <w:rsid w:val="00CE3645"/>
    <w:rsid w:val="00CE3C01"/>
    <w:rsid w:val="00CE4722"/>
    <w:rsid w:val="00CF24E1"/>
    <w:rsid w:val="00CF3C59"/>
    <w:rsid w:val="00CF5691"/>
    <w:rsid w:val="00D134B3"/>
    <w:rsid w:val="00D502BA"/>
    <w:rsid w:val="00D537B2"/>
    <w:rsid w:val="00D673A2"/>
    <w:rsid w:val="00D774BF"/>
    <w:rsid w:val="00D9273C"/>
    <w:rsid w:val="00DA2BD9"/>
    <w:rsid w:val="00DA2E3E"/>
    <w:rsid w:val="00DB33C9"/>
    <w:rsid w:val="00DB5677"/>
    <w:rsid w:val="00DB6CBE"/>
    <w:rsid w:val="00DC1661"/>
    <w:rsid w:val="00DC27EB"/>
    <w:rsid w:val="00DE0D1A"/>
    <w:rsid w:val="00DF4195"/>
    <w:rsid w:val="00DF7663"/>
    <w:rsid w:val="00E10B5C"/>
    <w:rsid w:val="00E313B4"/>
    <w:rsid w:val="00E462E5"/>
    <w:rsid w:val="00E53535"/>
    <w:rsid w:val="00E669FF"/>
    <w:rsid w:val="00E7308F"/>
    <w:rsid w:val="00E7418A"/>
    <w:rsid w:val="00E81B41"/>
    <w:rsid w:val="00E8561B"/>
    <w:rsid w:val="00E91371"/>
    <w:rsid w:val="00EA39A2"/>
    <w:rsid w:val="00EC4C9F"/>
    <w:rsid w:val="00ED06A1"/>
    <w:rsid w:val="00F05CF8"/>
    <w:rsid w:val="00F56F74"/>
    <w:rsid w:val="00F75880"/>
    <w:rsid w:val="00F77AFE"/>
    <w:rsid w:val="00F90386"/>
    <w:rsid w:val="00FA022C"/>
    <w:rsid w:val="00FB1FA6"/>
    <w:rsid w:val="00FC2DD2"/>
    <w:rsid w:val="00FC69FC"/>
    <w:rsid w:val="00FD26E5"/>
    <w:rsid w:val="00FD77F9"/>
    <w:rsid w:val="00FE68D9"/>
    <w:rsid w:val="00FF07F9"/>
    <w:rsid w:val="00FF18B5"/>
    <w:rsid w:val="00FF5350"/>
    <w:rsid w:val="02DA7665"/>
    <w:rsid w:val="08751B15"/>
    <w:rsid w:val="092812C3"/>
    <w:rsid w:val="0B2F64F5"/>
    <w:rsid w:val="0F1410D5"/>
    <w:rsid w:val="0F8557A0"/>
    <w:rsid w:val="114B1B78"/>
    <w:rsid w:val="12747CB6"/>
    <w:rsid w:val="16726C02"/>
    <w:rsid w:val="1F1178C4"/>
    <w:rsid w:val="234D048E"/>
    <w:rsid w:val="23827C90"/>
    <w:rsid w:val="279B588D"/>
    <w:rsid w:val="27AD653B"/>
    <w:rsid w:val="28EA6929"/>
    <w:rsid w:val="2A2E06E9"/>
    <w:rsid w:val="2F0C0493"/>
    <w:rsid w:val="2FC66065"/>
    <w:rsid w:val="38E00588"/>
    <w:rsid w:val="395E1B82"/>
    <w:rsid w:val="3B8A54CF"/>
    <w:rsid w:val="3DC74154"/>
    <w:rsid w:val="417D2B83"/>
    <w:rsid w:val="447155CE"/>
    <w:rsid w:val="457F2E38"/>
    <w:rsid w:val="45A74DE3"/>
    <w:rsid w:val="4A9F1F24"/>
    <w:rsid w:val="50443AF4"/>
    <w:rsid w:val="5257720E"/>
    <w:rsid w:val="54313F51"/>
    <w:rsid w:val="61550D02"/>
    <w:rsid w:val="619371FD"/>
    <w:rsid w:val="62161995"/>
    <w:rsid w:val="63CE58D0"/>
    <w:rsid w:val="64583494"/>
    <w:rsid w:val="646545DF"/>
    <w:rsid w:val="650E1031"/>
    <w:rsid w:val="6CF03552"/>
    <w:rsid w:val="6F6454C9"/>
    <w:rsid w:val="74384A67"/>
    <w:rsid w:val="75175B20"/>
    <w:rsid w:val="75E00ED1"/>
    <w:rsid w:val="77C01277"/>
    <w:rsid w:val="7AD47A85"/>
    <w:rsid w:val="7D88049E"/>
    <w:rsid w:val="7F1315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rFonts w:ascii="Arial" w:hAnsi="Arial"/>
      <w:b/>
      <w:bCs/>
      <w:kern w:val="44"/>
      <w:sz w:val="32"/>
      <w:szCs w:val="28"/>
    </w:rPr>
  </w:style>
  <w:style w:type="paragraph" w:styleId="3">
    <w:name w:val="heading 2"/>
    <w:basedOn w:val="1"/>
    <w:next w:val="1"/>
    <w:link w:val="44"/>
    <w:qFormat/>
    <w:uiPriority w:val="0"/>
    <w:pPr>
      <w:keepNext/>
      <w:keepLines/>
      <w:numPr>
        <w:ilvl w:val="1"/>
        <w:numId w:val="1"/>
      </w:numPr>
      <w:tabs>
        <w:tab w:val="left" w:pos="567"/>
      </w:tabs>
      <w:spacing w:before="260" w:after="260" w:line="413" w:lineRule="auto"/>
      <w:outlineLvl w:val="1"/>
    </w:pPr>
    <w:rPr>
      <w:rFonts w:ascii="Arial" w:hAnsi="Arial"/>
      <w:b/>
      <w:bCs/>
      <w:sz w:val="30"/>
      <w:szCs w:val="32"/>
    </w:rPr>
  </w:style>
  <w:style w:type="paragraph" w:styleId="4">
    <w:name w:val="heading 3"/>
    <w:basedOn w:val="1"/>
    <w:next w:val="1"/>
    <w:qFormat/>
    <w:uiPriority w:val="0"/>
    <w:pPr>
      <w:keepNext/>
      <w:keepLines/>
      <w:numPr>
        <w:ilvl w:val="2"/>
        <w:numId w:val="1"/>
      </w:numPr>
      <w:spacing w:before="260" w:after="260" w:line="413" w:lineRule="auto"/>
      <w:outlineLvl w:val="2"/>
    </w:pPr>
    <w:rPr>
      <w:rFonts w:ascii="Arial" w:hAnsi="Arial"/>
      <w:b/>
      <w:bCs/>
      <w:sz w:val="28"/>
      <w:szCs w:val="18"/>
    </w:rPr>
  </w:style>
  <w:style w:type="paragraph" w:styleId="5">
    <w:name w:val="heading 4"/>
    <w:basedOn w:val="4"/>
    <w:next w:val="1"/>
    <w:qFormat/>
    <w:uiPriority w:val="0"/>
    <w:pPr>
      <w:numPr>
        <w:ilvl w:val="3"/>
      </w:numPr>
      <w:tabs>
        <w:tab w:val="left" w:pos="851"/>
        <w:tab w:val="clear" w:pos="709"/>
      </w:tabs>
      <w:outlineLvl w:val="3"/>
    </w:pPr>
    <w:rPr>
      <w:sz w:val="24"/>
    </w:rPr>
  </w:style>
  <w:style w:type="paragraph" w:styleId="6">
    <w:name w:val="heading 5"/>
    <w:basedOn w:val="5"/>
    <w:next w:val="1"/>
    <w:qFormat/>
    <w:uiPriority w:val="0"/>
    <w:pPr>
      <w:numPr>
        <w:ilvl w:val="4"/>
      </w:numPr>
      <w:tabs>
        <w:tab w:val="left" w:pos="992"/>
        <w:tab w:val="clear" w:pos="851"/>
      </w:tabs>
      <w:outlineLvl w:val="4"/>
    </w:pPr>
    <w:rPr>
      <w:sz w:val="21"/>
    </w:rPr>
  </w:style>
  <w:style w:type="paragraph" w:styleId="7">
    <w:name w:val="heading 6"/>
    <w:basedOn w:val="6"/>
    <w:next w:val="1"/>
    <w:qFormat/>
    <w:uiPriority w:val="0"/>
    <w:pPr>
      <w:outlineLvl w:val="5"/>
    </w:pPr>
  </w:style>
  <w:style w:type="paragraph" w:styleId="8">
    <w:name w:val="heading 7"/>
    <w:basedOn w:val="7"/>
    <w:next w:val="1"/>
    <w:qFormat/>
    <w:uiPriority w:val="0"/>
    <w:pPr>
      <w:tabs>
        <w:tab w:val="clear" w:pos="992"/>
      </w:tabs>
      <w:outlineLvl w:val="6"/>
    </w:pPr>
  </w:style>
  <w:style w:type="paragraph" w:styleId="9">
    <w:name w:val="heading 8"/>
    <w:basedOn w:val="8"/>
    <w:next w:val="1"/>
    <w:qFormat/>
    <w:uiPriority w:val="0"/>
    <w:pPr>
      <w:outlineLvl w:val="7"/>
    </w:pPr>
  </w:style>
  <w:style w:type="paragraph" w:styleId="10">
    <w:name w:val="heading 9"/>
    <w:basedOn w:val="9"/>
    <w:next w:val="1"/>
    <w:qFormat/>
    <w:uiPriority w:val="0"/>
    <w:pPr>
      <w:outlineLvl w:val="8"/>
    </w:pPr>
  </w:style>
  <w:style w:type="character" w:default="1" w:styleId="30">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Document Map"/>
    <w:basedOn w:val="1"/>
    <w:qFormat/>
    <w:uiPriority w:val="0"/>
    <w:pPr>
      <w:shd w:val="clear" w:color="auto" w:fill="000080"/>
    </w:pPr>
  </w:style>
  <w:style w:type="paragraph" w:styleId="13">
    <w:name w:val="Body Text"/>
    <w:basedOn w:val="1"/>
    <w:qFormat/>
    <w:uiPriority w:val="0"/>
    <w:pPr>
      <w:spacing w:after="120" w:line="360" w:lineRule="auto"/>
      <w:ind w:firstLine="200" w:firstLineChars="200"/>
    </w:pPr>
    <w:rPr>
      <w:sz w:val="24"/>
    </w:rPr>
  </w:style>
  <w:style w:type="paragraph" w:styleId="14">
    <w:name w:val="Body Text Indent"/>
    <w:basedOn w:val="1"/>
    <w:qFormat/>
    <w:uiPriority w:val="0"/>
    <w:pPr>
      <w:spacing w:after="120"/>
      <w:ind w:left="420" w:leftChars="200"/>
    </w:pPr>
  </w:style>
  <w:style w:type="paragraph" w:styleId="15">
    <w:name w:val="toc 5"/>
    <w:basedOn w:val="1"/>
    <w:next w:val="1"/>
    <w:qFormat/>
    <w:uiPriority w:val="0"/>
    <w:pPr>
      <w:ind w:left="1680" w:leftChars="800"/>
    </w:pPr>
  </w:style>
  <w:style w:type="paragraph" w:styleId="16">
    <w:name w:val="toc 3"/>
    <w:basedOn w:val="1"/>
    <w:next w:val="1"/>
    <w:qFormat/>
    <w:uiPriority w:val="39"/>
    <w:pPr>
      <w:tabs>
        <w:tab w:val="left" w:pos="1680"/>
        <w:tab w:val="right" w:leader="dot" w:pos="8302"/>
      </w:tabs>
      <w:ind w:left="840" w:leftChars="400"/>
    </w:pPr>
  </w:style>
  <w:style w:type="paragraph" w:styleId="17">
    <w:name w:val="toc 8"/>
    <w:basedOn w:val="1"/>
    <w:next w:val="1"/>
    <w:qFormat/>
    <w:uiPriority w:val="0"/>
    <w:pPr>
      <w:ind w:left="1470"/>
      <w:jc w:val="left"/>
    </w:pPr>
    <w:rPr>
      <w:szCs w:val="21"/>
    </w:rPr>
  </w:style>
  <w:style w:type="paragraph" w:styleId="18">
    <w:name w:val="index 3"/>
    <w:basedOn w:val="1"/>
    <w:next w:val="1"/>
    <w:qFormat/>
    <w:uiPriority w:val="0"/>
    <w:pPr>
      <w:ind w:left="400" w:leftChars="400"/>
    </w:pPr>
  </w:style>
  <w:style w:type="paragraph" w:styleId="19">
    <w:name w:val="Balloon Text"/>
    <w:basedOn w:val="1"/>
    <w:link w:val="43"/>
    <w:semiHidden/>
    <w:unhideWhenUsed/>
    <w:qFormat/>
    <w:uiPriority w:val="99"/>
    <w:rPr>
      <w:sz w:val="18"/>
      <w:szCs w:val="18"/>
    </w:rPr>
  </w:style>
  <w:style w:type="paragraph" w:styleId="20">
    <w:name w:val="footer"/>
    <w:basedOn w:val="1"/>
    <w:link w:val="48"/>
    <w:qFormat/>
    <w:uiPriority w:val="99"/>
    <w:pPr>
      <w:tabs>
        <w:tab w:val="center" w:pos="4153"/>
        <w:tab w:val="right" w:pos="8306"/>
      </w:tabs>
      <w:snapToGrid w:val="0"/>
      <w:jc w:val="center"/>
    </w:pPr>
    <w:rPr>
      <w:sz w:val="18"/>
      <w:szCs w:val="18"/>
    </w:rPr>
  </w:style>
  <w:style w:type="paragraph" w:styleId="21">
    <w:name w:val="header"/>
    <w:basedOn w:val="1"/>
    <w:link w:val="47"/>
    <w:qFormat/>
    <w:uiPriority w:val="99"/>
    <w:pPr>
      <w:pBdr>
        <w:bottom w:val="single" w:color="auto" w:sz="4" w:space="1"/>
      </w:pBdr>
      <w:tabs>
        <w:tab w:val="center" w:pos="4153"/>
        <w:tab w:val="right" w:pos="8306"/>
      </w:tabs>
      <w:snapToGrid w:val="0"/>
      <w:jc w:val="right"/>
    </w:pPr>
    <w:rPr>
      <w:sz w:val="18"/>
      <w:szCs w:val="18"/>
    </w:rPr>
  </w:style>
  <w:style w:type="paragraph" w:styleId="22">
    <w:name w:val="toc 1"/>
    <w:basedOn w:val="1"/>
    <w:next w:val="1"/>
    <w:qFormat/>
    <w:uiPriority w:val="39"/>
    <w:pPr>
      <w:spacing w:beforeLines="100"/>
    </w:pPr>
    <w:rPr>
      <w:b/>
    </w:rPr>
  </w:style>
  <w:style w:type="paragraph" w:styleId="23">
    <w:name w:val="toc 4"/>
    <w:basedOn w:val="1"/>
    <w:next w:val="1"/>
    <w:qFormat/>
    <w:uiPriority w:val="0"/>
    <w:pPr>
      <w:ind w:left="1260" w:leftChars="600"/>
    </w:pPr>
  </w:style>
  <w:style w:type="paragraph" w:styleId="24">
    <w:name w:val="toc 6"/>
    <w:basedOn w:val="1"/>
    <w:next w:val="1"/>
    <w:qFormat/>
    <w:uiPriority w:val="0"/>
    <w:pPr>
      <w:ind w:left="2100" w:leftChars="1000"/>
    </w:pPr>
  </w:style>
  <w:style w:type="paragraph" w:styleId="25">
    <w:name w:val="toc 2"/>
    <w:basedOn w:val="1"/>
    <w:next w:val="1"/>
    <w:qFormat/>
    <w:uiPriority w:val="39"/>
    <w:pPr>
      <w:tabs>
        <w:tab w:val="left" w:pos="1260"/>
        <w:tab w:val="right" w:leader="dot" w:pos="8302"/>
      </w:tabs>
      <w:ind w:left="420" w:leftChars="200"/>
    </w:pPr>
  </w:style>
  <w:style w:type="paragraph" w:styleId="26">
    <w:name w:val="toc 9"/>
    <w:basedOn w:val="1"/>
    <w:next w:val="1"/>
    <w:qFormat/>
    <w:uiPriority w:val="0"/>
    <w:pPr>
      <w:ind w:left="3360" w:leftChars="1600"/>
    </w:pPr>
  </w:style>
  <w:style w:type="paragraph" w:styleId="27">
    <w:name w:val="Normal (Web)"/>
    <w:basedOn w:val="1"/>
    <w:qFormat/>
    <w:uiPriority w:val="0"/>
    <w:pPr>
      <w:widowControl/>
      <w:spacing w:before="100" w:beforeAutospacing="1" w:after="100" w:afterAutospacing="1"/>
      <w:jc w:val="left"/>
    </w:pPr>
    <w:rPr>
      <w:rFonts w:ascii="宋体" w:hAnsi="宋体"/>
      <w:kern w:val="0"/>
      <w:sz w:val="24"/>
    </w:rPr>
  </w:style>
  <w:style w:type="paragraph" w:styleId="28">
    <w:name w:val="index 1"/>
    <w:basedOn w:val="1"/>
    <w:next w:val="1"/>
    <w:qFormat/>
    <w:uiPriority w:val="0"/>
  </w:style>
  <w:style w:type="character" w:styleId="31">
    <w:name w:val="Strong"/>
    <w:basedOn w:val="30"/>
    <w:qFormat/>
    <w:uiPriority w:val="22"/>
    <w:rPr>
      <w:b/>
      <w:bCs/>
    </w:rPr>
  </w:style>
  <w:style w:type="character" w:styleId="32">
    <w:name w:val="page number"/>
    <w:basedOn w:val="30"/>
    <w:qFormat/>
    <w:uiPriority w:val="0"/>
  </w:style>
  <w:style w:type="character" w:styleId="33">
    <w:name w:val="Hyperlink"/>
    <w:qFormat/>
    <w:uiPriority w:val="99"/>
    <w:rPr>
      <w:color w:val="0000FF"/>
      <w:u w:val="single"/>
    </w:rPr>
  </w:style>
  <w:style w:type="character" w:styleId="34">
    <w:name w:val="annotation reference"/>
    <w:qFormat/>
    <w:uiPriority w:val="0"/>
    <w:rPr>
      <w:sz w:val="21"/>
      <w:szCs w:val="21"/>
    </w:rPr>
  </w:style>
  <w:style w:type="character" w:customStyle="1" w:styleId="35">
    <w:name w:val="访问过的超链接1"/>
    <w:qFormat/>
    <w:uiPriority w:val="0"/>
    <w:rPr>
      <w:color w:val="800080"/>
      <w:u w:val="single"/>
    </w:rPr>
  </w:style>
  <w:style w:type="character" w:customStyle="1" w:styleId="36">
    <w:name w:val="Indent Normal Char"/>
    <w:qFormat/>
    <w:uiPriority w:val="0"/>
    <w:rPr>
      <w:rFonts w:eastAsia="宋体"/>
      <w:kern w:val="2"/>
      <w:sz w:val="21"/>
      <w:szCs w:val="24"/>
      <w:lang w:val="en-US" w:eastAsia="zh-CN" w:bidi="ar-SA"/>
    </w:rPr>
  </w:style>
  <w:style w:type="paragraph" w:customStyle="1" w:styleId="37">
    <w:name w:val="Code"/>
    <w:basedOn w:val="1"/>
    <w:qFormat/>
    <w:uiPriority w:val="0"/>
    <w:pPr>
      <w:keepLines/>
      <w:widowControl/>
      <w:pBdr>
        <w:top w:val="double" w:color="auto" w:sz="4" w:space="1"/>
        <w:bottom w:val="double" w:color="auto" w:sz="4" w:space="1"/>
      </w:pBdr>
      <w:shd w:val="clear" w:color="auto" w:fill="E6E6E6"/>
      <w:ind w:left="200" w:leftChars="200" w:right="200" w:rightChars="200"/>
      <w:jc w:val="left"/>
    </w:pPr>
    <w:rPr>
      <w:rFonts w:ascii="Courier New" w:hAnsi="Courier New"/>
      <w:sz w:val="18"/>
      <w:szCs w:val="21"/>
    </w:rPr>
  </w:style>
  <w:style w:type="paragraph" w:customStyle="1" w:styleId="38">
    <w:name w:val="Subject"/>
    <w:basedOn w:val="1"/>
    <w:qFormat/>
    <w:uiPriority w:val="0"/>
    <w:pPr>
      <w:spacing w:beforeLines="800"/>
      <w:jc w:val="center"/>
    </w:pPr>
    <w:rPr>
      <w:rFonts w:eastAsia="黑体"/>
      <w:b/>
      <w:sz w:val="48"/>
    </w:rPr>
  </w:style>
  <w:style w:type="paragraph" w:customStyle="1" w:styleId="39">
    <w:name w:val="封面表格文本"/>
    <w:basedOn w:val="1"/>
    <w:qFormat/>
    <w:uiPriority w:val="0"/>
    <w:pPr>
      <w:autoSpaceDE w:val="0"/>
      <w:autoSpaceDN w:val="0"/>
      <w:adjustRightInd w:val="0"/>
      <w:jc w:val="center"/>
    </w:pPr>
    <w:rPr>
      <w:b/>
      <w:kern w:val="0"/>
      <w:sz w:val="24"/>
      <w:szCs w:val="20"/>
    </w:rPr>
  </w:style>
  <w:style w:type="paragraph" w:customStyle="1" w:styleId="40">
    <w:name w:val="封面文档标题"/>
    <w:basedOn w:val="1"/>
    <w:qFormat/>
    <w:uiPriority w:val="0"/>
    <w:pPr>
      <w:autoSpaceDE w:val="0"/>
      <w:autoSpaceDN w:val="0"/>
      <w:adjustRightInd w:val="0"/>
      <w:spacing w:line="360" w:lineRule="auto"/>
      <w:jc w:val="center"/>
    </w:pPr>
    <w:rPr>
      <w:rFonts w:ascii="Arial" w:hAnsi="Arial"/>
      <w:b/>
      <w:kern w:val="0"/>
      <w:sz w:val="56"/>
      <w:szCs w:val="20"/>
    </w:rPr>
  </w:style>
  <w:style w:type="paragraph" w:customStyle="1" w:styleId="41">
    <w:name w:val="公司名称"/>
    <w:basedOn w:val="1"/>
    <w:qFormat/>
    <w:uiPriority w:val="0"/>
    <w:pPr>
      <w:widowControl/>
      <w:autoSpaceDE w:val="0"/>
      <w:autoSpaceDN w:val="0"/>
      <w:adjustRightInd w:val="0"/>
      <w:jc w:val="left"/>
    </w:pPr>
    <w:rPr>
      <w:rFonts w:eastAsia="黑体"/>
      <w:b/>
      <w:kern w:val="0"/>
      <w:sz w:val="32"/>
      <w:szCs w:val="20"/>
    </w:rPr>
  </w:style>
  <w:style w:type="paragraph" w:customStyle="1" w:styleId="42">
    <w:name w:val="TOC Heading"/>
    <w:basedOn w:val="2"/>
    <w:next w:val="1"/>
    <w:semiHidden/>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3">
    <w:name w:val="批注框文本 Char"/>
    <w:basedOn w:val="30"/>
    <w:link w:val="19"/>
    <w:semiHidden/>
    <w:qFormat/>
    <w:uiPriority w:val="99"/>
    <w:rPr>
      <w:kern w:val="2"/>
      <w:sz w:val="18"/>
      <w:szCs w:val="18"/>
    </w:rPr>
  </w:style>
  <w:style w:type="character" w:customStyle="1" w:styleId="44">
    <w:name w:val="标题 2 Char"/>
    <w:basedOn w:val="30"/>
    <w:link w:val="3"/>
    <w:qFormat/>
    <w:uiPriority w:val="0"/>
    <w:rPr>
      <w:rFonts w:ascii="Arial" w:hAnsi="Arial"/>
      <w:b/>
      <w:bCs/>
      <w:kern w:val="2"/>
      <w:sz w:val="30"/>
      <w:szCs w:val="32"/>
    </w:rPr>
  </w:style>
  <w:style w:type="paragraph" w:styleId="45">
    <w:name w:val="List Paragraph"/>
    <w:basedOn w:val="1"/>
    <w:qFormat/>
    <w:uiPriority w:val="34"/>
    <w:pPr>
      <w:ind w:firstLine="420" w:firstLineChars="200"/>
    </w:pPr>
  </w:style>
  <w:style w:type="paragraph" w:customStyle="1" w:styleId="46">
    <w:name w:val="Indent Normal"/>
    <w:basedOn w:val="1"/>
    <w:qFormat/>
    <w:uiPriority w:val="0"/>
    <w:pPr>
      <w:ind w:firstLine="150" w:firstLineChars="150"/>
    </w:pPr>
    <w:rPr>
      <w:sz w:val="24"/>
    </w:rPr>
  </w:style>
  <w:style w:type="character" w:customStyle="1" w:styleId="47">
    <w:name w:val="页眉 Char"/>
    <w:basedOn w:val="30"/>
    <w:link w:val="21"/>
    <w:qFormat/>
    <w:uiPriority w:val="99"/>
    <w:rPr>
      <w:kern w:val="2"/>
      <w:sz w:val="18"/>
      <w:szCs w:val="18"/>
    </w:rPr>
  </w:style>
  <w:style w:type="character" w:customStyle="1" w:styleId="48">
    <w:name w:val="页脚 Char"/>
    <w:basedOn w:val="30"/>
    <w:link w:val="20"/>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Desktop\desig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1CE614-96A1-4A40-B5FE-69732E01ADF5}">
  <ds:schemaRefs/>
</ds:datastoreItem>
</file>

<file path=docProps/app.xml><?xml version="1.0" encoding="utf-8"?>
<Properties xmlns="http://schemas.openxmlformats.org/officeDocument/2006/extended-properties" xmlns:vt="http://schemas.openxmlformats.org/officeDocument/2006/docPropsVTypes">
  <Template>design</Template>
  <Company>江苏国泰新点软件有限公司</Company>
  <Pages>13</Pages>
  <Words>4425</Words>
  <Characters>4615</Characters>
  <Lines>26</Lines>
  <Paragraphs>7</Paragraphs>
  <TotalTime>6</TotalTime>
  <ScaleCrop>false</ScaleCrop>
  <LinksUpToDate>false</LinksUpToDate>
  <CharactersWithSpaces>4675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2015-10-19T03:22:00Z</dcterms:created>
  <dc:creator>humf</dc:creator>
  <cp:lastModifiedBy>廖勤超</cp:lastModifiedBy>
  <cp:lastPrinted>2004-11-15T02:42:00Z</cp:lastPrinted>
  <dcterms:modified xsi:type="dcterms:W3CDTF">2022-09-21T01:55:34Z</dcterms:modified>
  <dc:title>智慧清单先锋软件V7</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481CE3A6B6224C61B90DEFC432A2F1A9</vt:lpwstr>
  </property>
</Properties>
</file>